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CBFD" w14:textId="77777777" w:rsidR="001E2DD0" w:rsidRDefault="001E2DD0" w:rsidP="001E2DD0">
      <w:pPr>
        <w:pStyle w:val="BodyText"/>
        <w:jc w:val="center"/>
        <w:rPr>
          <w:rFonts w:asciiTheme="minorHAnsi" w:hAnsiTheme="minorHAnsi" w:cstheme="minorHAnsi"/>
        </w:rPr>
      </w:pPr>
    </w:p>
    <w:p w14:paraId="233D95A2" w14:textId="77777777" w:rsidR="001E2DD0" w:rsidRPr="00A379D6" w:rsidRDefault="001E2DD0" w:rsidP="001E2DD0">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14:paraId="0CA230D6" w14:textId="7D1431A5" w:rsidR="001E2DD0" w:rsidRPr="00A379D6" w:rsidRDefault="00871CB6" w:rsidP="001E2DD0">
      <w:pPr>
        <w:pStyle w:val="BodyText"/>
        <w:jc w:val="center"/>
        <w:rPr>
          <w:rFonts w:asciiTheme="minorHAnsi" w:hAnsiTheme="minorHAnsi" w:cstheme="minorHAnsi"/>
        </w:rPr>
      </w:pPr>
      <w:r>
        <w:rPr>
          <w:rFonts w:asciiTheme="minorHAnsi" w:hAnsiTheme="minorHAnsi" w:cstheme="minorHAnsi"/>
        </w:rPr>
        <w:t>Minutes</w:t>
      </w:r>
    </w:p>
    <w:p w14:paraId="45383212" w14:textId="1C35E250" w:rsidR="001E2DD0" w:rsidRDefault="001E2DD0" w:rsidP="001E2DD0">
      <w:pPr>
        <w:pStyle w:val="BodyText"/>
        <w:jc w:val="center"/>
        <w:rPr>
          <w:rFonts w:asciiTheme="minorHAnsi" w:hAnsiTheme="minorHAnsi" w:cstheme="minorHAnsi"/>
        </w:rPr>
      </w:pPr>
      <w:r w:rsidRPr="00A379D6">
        <w:rPr>
          <w:rFonts w:asciiTheme="minorHAnsi" w:hAnsiTheme="minorHAnsi" w:cstheme="minorHAnsi"/>
        </w:rPr>
        <w:t xml:space="preserve">for the </w:t>
      </w:r>
      <w:r w:rsidR="00CD6844">
        <w:rPr>
          <w:rFonts w:asciiTheme="minorHAnsi" w:hAnsiTheme="minorHAnsi" w:cstheme="minorHAnsi"/>
        </w:rPr>
        <w:t>3</w:t>
      </w:r>
      <w:r w:rsidR="00B471E1">
        <w:rPr>
          <w:rFonts w:asciiTheme="minorHAnsi" w:hAnsiTheme="minorHAnsi" w:cstheme="minorHAnsi"/>
        </w:rPr>
        <w:t>31</w:t>
      </w:r>
      <w:r w:rsidR="00B471E1" w:rsidRPr="00B471E1">
        <w:rPr>
          <w:rFonts w:asciiTheme="minorHAnsi" w:hAnsiTheme="minorHAnsi" w:cstheme="minorHAnsi"/>
          <w:vertAlign w:val="superscript"/>
        </w:rPr>
        <w:t>st</w:t>
      </w:r>
      <w:r w:rsidR="00B471E1">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347723">
        <w:rPr>
          <w:rFonts w:asciiTheme="minorHAnsi" w:hAnsiTheme="minorHAnsi" w:cstheme="minorHAnsi"/>
        </w:rPr>
        <w:t>9</w:t>
      </w:r>
      <w:r w:rsidRPr="00A379D6">
        <w:rPr>
          <w:rFonts w:asciiTheme="minorHAnsi" w:hAnsiTheme="minorHAnsi" w:cstheme="minorHAnsi"/>
        </w:rPr>
        <w:t xml:space="preserve">:00 </w:t>
      </w:r>
      <w:r w:rsidR="00347723">
        <w:rPr>
          <w:rFonts w:asciiTheme="minorHAnsi" w:hAnsiTheme="minorHAnsi" w:cstheme="minorHAnsi"/>
        </w:rPr>
        <w:t>a</w:t>
      </w:r>
      <w:r w:rsidRPr="00A379D6">
        <w:rPr>
          <w:rFonts w:asciiTheme="minorHAnsi" w:hAnsiTheme="minorHAnsi" w:cstheme="minorHAnsi"/>
        </w:rPr>
        <w:t xml:space="preserve">.m. on </w:t>
      </w:r>
      <w:r w:rsidR="00674952">
        <w:rPr>
          <w:rFonts w:asciiTheme="minorHAnsi" w:hAnsiTheme="minorHAnsi" w:cstheme="minorHAnsi"/>
        </w:rPr>
        <w:t>29</w:t>
      </w:r>
      <w:r w:rsidR="00674952" w:rsidRPr="00674952">
        <w:rPr>
          <w:rFonts w:asciiTheme="minorHAnsi" w:hAnsiTheme="minorHAnsi" w:cstheme="minorHAnsi"/>
          <w:vertAlign w:val="superscript"/>
        </w:rPr>
        <w:t>th</w:t>
      </w:r>
      <w:r w:rsidR="00674952">
        <w:rPr>
          <w:rFonts w:asciiTheme="minorHAnsi" w:hAnsiTheme="minorHAnsi" w:cstheme="minorHAnsi"/>
        </w:rPr>
        <w:t xml:space="preserve"> January 2025</w:t>
      </w:r>
    </w:p>
    <w:p w14:paraId="17E5BC73" w14:textId="77777777" w:rsidR="001E2DD0" w:rsidRPr="00A379D6" w:rsidRDefault="00964200" w:rsidP="001E2DD0">
      <w:pPr>
        <w:pStyle w:val="BodyText"/>
        <w:jc w:val="center"/>
        <w:rPr>
          <w:rFonts w:asciiTheme="minorHAnsi" w:hAnsiTheme="minorHAnsi" w:cstheme="minorHAnsi"/>
        </w:rPr>
      </w:pPr>
      <w:r>
        <w:rPr>
          <w:rFonts w:asciiTheme="minorHAnsi" w:hAnsiTheme="minorHAnsi" w:cstheme="minorHAnsi"/>
        </w:rPr>
        <w:pict w14:anchorId="727D0DB7">
          <v:rect id="_x0000_i1025" style="width:0;height:1.5pt" o:hralign="center" o:hrstd="t" o:hr="t" fillcolor="#a0a0a0" stroked="f"/>
        </w:pict>
      </w:r>
    </w:p>
    <w:p w14:paraId="22ABEF27" w14:textId="77777777" w:rsidR="00444A09" w:rsidRDefault="00444A09" w:rsidP="00444A09">
      <w:pPr>
        <w:pStyle w:val="General1L1"/>
        <w:rPr>
          <w:b/>
          <w:bCs/>
        </w:rPr>
      </w:pPr>
      <w:r w:rsidRPr="00546EC0">
        <w:rPr>
          <w:b/>
          <w:bCs/>
        </w:rPr>
        <w:t>Welcome and apologies</w:t>
      </w:r>
    </w:p>
    <w:p w14:paraId="11A521D5" w14:textId="35797901" w:rsidR="00871CB6" w:rsidRPr="00871CB6" w:rsidRDefault="00871CB6" w:rsidP="00871CB6">
      <w:pPr>
        <w:pStyle w:val="BodyText1"/>
      </w:pPr>
      <w:r w:rsidRPr="00871CB6">
        <w:rPr>
          <w:i/>
          <w:iCs/>
        </w:rPr>
        <w:t>In attendance</w:t>
      </w:r>
      <w:r w:rsidRPr="00871CB6">
        <w:t>: Adam Bogdanor (</w:t>
      </w:r>
      <w:r w:rsidRPr="00871CB6">
        <w:rPr>
          <w:i/>
          <w:iCs/>
        </w:rPr>
        <w:t>Bryan Cave Leighton Paisner LLP</w:t>
      </w:r>
      <w:r w:rsidRPr="00871CB6">
        <w:t>); Tom Brassington (</w:t>
      </w:r>
      <w:r w:rsidRPr="00871CB6">
        <w:rPr>
          <w:i/>
          <w:iCs/>
        </w:rPr>
        <w:t>Hogan Lovells International LLP</w:t>
      </w:r>
      <w:r w:rsidRPr="00871CB6">
        <w:t>); Richard Burrows (</w:t>
      </w:r>
      <w:r w:rsidRPr="00871CB6">
        <w:rPr>
          <w:i/>
          <w:iCs/>
        </w:rPr>
        <w:t>Macfarlanes LLP</w:t>
      </w:r>
      <w:r w:rsidRPr="00871CB6">
        <w:t>); Jamie Corner (</w:t>
      </w:r>
      <w:r w:rsidRPr="00871CB6">
        <w:rPr>
          <w:i/>
          <w:iCs/>
        </w:rPr>
        <w:t>Simmons &amp; Simmons LLP</w:t>
      </w:r>
      <w:r w:rsidRPr="00871CB6">
        <w:t>); Andrew Edge (</w:t>
      </w:r>
      <w:r w:rsidRPr="00871CB6">
        <w:rPr>
          <w:i/>
          <w:iCs/>
        </w:rPr>
        <w:t>Taylor Wessing LLP</w:t>
      </w:r>
      <w:r w:rsidRPr="00871CB6">
        <w:t>); Lucy Fergusson (</w:t>
      </w:r>
      <w:r w:rsidRPr="00871CB6">
        <w:rPr>
          <w:i/>
          <w:iCs/>
        </w:rPr>
        <w:t>Linklaters LLP</w:t>
      </w:r>
      <w:r w:rsidRPr="00871CB6">
        <w:t xml:space="preserve">); </w:t>
      </w:r>
      <w:r w:rsidR="00FB2645">
        <w:t xml:space="preserve">Sarah Hawes (alternate for </w:t>
      </w:r>
      <w:r w:rsidR="00FB2645" w:rsidRPr="00871CB6">
        <w:t>Caroline Rae</w:t>
      </w:r>
      <w:r w:rsidR="00FB2645">
        <w:t xml:space="preserve">, </w:t>
      </w:r>
      <w:r w:rsidR="00FB2645" w:rsidRPr="00871CB6">
        <w:rPr>
          <w:i/>
          <w:iCs/>
        </w:rPr>
        <w:t>Herbert Smith Freehills LLP</w:t>
      </w:r>
      <w:r w:rsidR="00FB2645" w:rsidRPr="00FB2645">
        <w:t>)</w:t>
      </w:r>
      <w:r w:rsidR="00FB2645">
        <w:t xml:space="preserve">; </w:t>
      </w:r>
      <w:r w:rsidRPr="00871CB6">
        <w:t>James Innes</w:t>
      </w:r>
      <w:r w:rsidR="00471CA3">
        <w:t>s</w:t>
      </w:r>
      <w:r w:rsidRPr="00871CB6">
        <w:t xml:space="preserve"> (</w:t>
      </w:r>
      <w:r w:rsidRPr="00871CB6">
        <w:rPr>
          <w:i/>
          <w:iCs/>
        </w:rPr>
        <w:t>Latham &amp; Watkins LLP</w:t>
      </w:r>
      <w:r w:rsidRPr="00871CB6">
        <w:t xml:space="preserve">); </w:t>
      </w:r>
      <w:r w:rsidR="00771A0C">
        <w:t xml:space="preserve">James Kaye (alternate for </w:t>
      </w:r>
      <w:r w:rsidR="00771A0C" w:rsidRPr="00871CB6">
        <w:t>Chrissy Findlay</w:t>
      </w:r>
      <w:r w:rsidR="00771A0C">
        <w:t xml:space="preserve">, </w:t>
      </w:r>
      <w:r w:rsidR="00771A0C" w:rsidRPr="00871CB6">
        <w:rPr>
          <w:i/>
          <w:iCs/>
        </w:rPr>
        <w:t>Pinsent Masons LLP</w:t>
      </w:r>
      <w:r w:rsidR="00471CA3" w:rsidRPr="00471CA3">
        <w:t>)</w:t>
      </w:r>
      <w:r w:rsidR="00771A0C">
        <w:t xml:space="preserve">; </w:t>
      </w:r>
      <w:r w:rsidRPr="00871CB6">
        <w:t>Vanessa Knapp (</w:t>
      </w:r>
      <w:r w:rsidRPr="00871CB6">
        <w:rPr>
          <w:i/>
          <w:iCs/>
        </w:rPr>
        <w:t>Independent</w:t>
      </w:r>
      <w:r w:rsidRPr="00871CB6">
        <w:t>); George Knighton (</w:t>
      </w:r>
      <w:r w:rsidRPr="00871CB6">
        <w:rPr>
          <w:i/>
          <w:iCs/>
        </w:rPr>
        <w:t>Skadden Arps Slate Meagher &amp; Flom (UK) LLP</w:t>
      </w:r>
      <w:r w:rsidRPr="00871CB6">
        <w:t>); Stephen Mathews (</w:t>
      </w:r>
      <w:r w:rsidRPr="00871CB6">
        <w:rPr>
          <w:i/>
          <w:iCs/>
        </w:rPr>
        <w:t>A&amp;O Shearman LLP</w:t>
      </w:r>
      <w:r w:rsidRPr="00871CB6">
        <w:t xml:space="preserve">); </w:t>
      </w:r>
      <w:r w:rsidR="0057363A" w:rsidRPr="00871CB6">
        <w:t xml:space="preserve">Juliet McKean (Secretary, </w:t>
      </w:r>
      <w:r w:rsidR="0057363A" w:rsidRPr="00871CB6">
        <w:rPr>
          <w:i/>
          <w:iCs/>
        </w:rPr>
        <w:t>Clifford Chance LLP</w:t>
      </w:r>
      <w:r w:rsidR="0057363A" w:rsidRPr="00871CB6">
        <w:t>)</w:t>
      </w:r>
      <w:r w:rsidR="0057363A">
        <w:t xml:space="preserve">; </w:t>
      </w:r>
      <w:r w:rsidRPr="00871CB6">
        <w:t>James Parkes (</w:t>
      </w:r>
      <w:r w:rsidRPr="00871CB6">
        <w:rPr>
          <w:i/>
          <w:iCs/>
        </w:rPr>
        <w:t>CMS Cameron McKenna Nabarro Olswang LLP</w:t>
      </w:r>
      <w:r w:rsidRPr="00871CB6">
        <w:t>); Ben Perry (</w:t>
      </w:r>
      <w:r w:rsidRPr="00871CB6">
        <w:rPr>
          <w:i/>
          <w:iCs/>
        </w:rPr>
        <w:t>Sullivan &amp; Cromwell LLP</w:t>
      </w:r>
      <w:r w:rsidRPr="00871CB6">
        <w:t>); Jon Perry (</w:t>
      </w:r>
      <w:r w:rsidRPr="00871CB6">
        <w:rPr>
          <w:i/>
          <w:iCs/>
        </w:rPr>
        <w:t>Norton Rose Fulbright LLP</w:t>
      </w:r>
      <w:r w:rsidRPr="00871CB6">
        <w:t xml:space="preserve">); </w:t>
      </w:r>
      <w:r w:rsidR="0057363A" w:rsidRPr="00871CB6">
        <w:t xml:space="preserve">David Pudge (Chair, </w:t>
      </w:r>
      <w:r w:rsidR="0057363A" w:rsidRPr="00871CB6">
        <w:rPr>
          <w:i/>
          <w:iCs/>
        </w:rPr>
        <w:t>Clifford Chance LLP</w:t>
      </w:r>
      <w:r w:rsidR="0057363A" w:rsidRPr="00871CB6">
        <w:t>)</w:t>
      </w:r>
      <w:r w:rsidR="0057363A">
        <w:t xml:space="preserve">; </w:t>
      </w:r>
      <w:r w:rsidRPr="00871CB6">
        <w:t>Allan Taylor (</w:t>
      </w:r>
      <w:r w:rsidRPr="00871CB6">
        <w:rPr>
          <w:i/>
          <w:iCs/>
        </w:rPr>
        <w:t>White and Case LLP</w:t>
      </w:r>
      <w:r w:rsidRPr="00871CB6">
        <w:t>); Simon Tysoe (</w:t>
      </w:r>
      <w:r w:rsidRPr="00871CB6">
        <w:rPr>
          <w:i/>
          <w:iCs/>
        </w:rPr>
        <w:t>Slaughter and May</w:t>
      </w:r>
      <w:r w:rsidRPr="00871CB6">
        <w:t>); Liz Wall (</w:t>
      </w:r>
      <w:r w:rsidRPr="00871CB6">
        <w:rPr>
          <w:i/>
          <w:iCs/>
        </w:rPr>
        <w:t>A&amp;O Shearman LLP</w:t>
      </w:r>
      <w:r w:rsidRPr="00871CB6">
        <w:t>); A</w:t>
      </w:r>
      <w:r w:rsidR="005838D7">
        <w:t>d</w:t>
      </w:r>
      <w:r w:rsidRPr="00871CB6">
        <w:t>rian West (</w:t>
      </w:r>
      <w:r w:rsidRPr="00871CB6">
        <w:rPr>
          <w:i/>
          <w:iCs/>
        </w:rPr>
        <w:t>Travers Smith LLP</w:t>
      </w:r>
      <w:r w:rsidRPr="00871CB6">
        <w:t xml:space="preserve">); </w:t>
      </w:r>
      <w:r w:rsidR="0057363A">
        <w:t>Ann</w:t>
      </w:r>
      <w:r w:rsidR="005838D7">
        <w:t>i</w:t>
      </w:r>
      <w:r w:rsidR="0057363A">
        <w:t>e Whiteside (</w:t>
      </w:r>
      <w:r w:rsidR="0057363A" w:rsidRPr="0057363A">
        <w:t>alternate for</w:t>
      </w:r>
      <w:r w:rsidR="0057363A">
        <w:t xml:space="preserve"> </w:t>
      </w:r>
      <w:r w:rsidR="0057363A" w:rsidRPr="00871CB6">
        <w:t>Ziyad Nassif</w:t>
      </w:r>
      <w:r w:rsidR="0057363A">
        <w:t xml:space="preserve">, </w:t>
      </w:r>
      <w:r w:rsidR="0057363A" w:rsidRPr="00871CB6">
        <w:rPr>
          <w:i/>
          <w:iCs/>
        </w:rPr>
        <w:t>Freshfields Bruckhaus Deringer LLP</w:t>
      </w:r>
      <w:r w:rsidR="0057363A">
        <w:t>);</w:t>
      </w:r>
      <w:r w:rsidR="0057363A" w:rsidRPr="0057363A">
        <w:t xml:space="preserve"> </w:t>
      </w:r>
      <w:r w:rsidRPr="00871CB6">
        <w:t>Simon Witty (</w:t>
      </w:r>
      <w:r w:rsidRPr="00871CB6">
        <w:rPr>
          <w:i/>
          <w:iCs/>
        </w:rPr>
        <w:t>Davis Polk &amp; Wardwell London LLP</w:t>
      </w:r>
      <w:r w:rsidRPr="00871CB6">
        <w:t>); Simon Wood (</w:t>
      </w:r>
      <w:r w:rsidRPr="00871CB6">
        <w:rPr>
          <w:i/>
          <w:iCs/>
        </w:rPr>
        <w:t>Addleshaw Goddard LLP</w:t>
      </w:r>
      <w:r w:rsidRPr="00871CB6">
        <w:t>);</w:t>
      </w:r>
      <w:r w:rsidR="0057363A">
        <w:t xml:space="preserve"> and </w:t>
      </w:r>
      <w:r w:rsidRPr="00871CB6">
        <w:t>Victoria Younghusband (</w:t>
      </w:r>
      <w:r w:rsidRPr="00871CB6">
        <w:rPr>
          <w:i/>
          <w:iCs/>
        </w:rPr>
        <w:t>Charles Russell Speechlys LLP</w:t>
      </w:r>
      <w:r w:rsidRPr="00871CB6">
        <w:t>)</w:t>
      </w:r>
      <w:r w:rsidR="0089628D">
        <w:t>.</w:t>
      </w:r>
    </w:p>
    <w:p w14:paraId="342B7CA8" w14:textId="44FCDE5B" w:rsidR="00871CB6" w:rsidRDefault="00871CB6" w:rsidP="00871CB6">
      <w:pPr>
        <w:pStyle w:val="BodyText1"/>
      </w:pPr>
      <w:r w:rsidRPr="00871CB6">
        <w:rPr>
          <w:i/>
          <w:iCs/>
        </w:rPr>
        <w:t>Apologies</w:t>
      </w:r>
      <w:r w:rsidRPr="00871CB6">
        <w:t>: </w:t>
      </w:r>
      <w:r w:rsidR="00797C89" w:rsidRPr="00871CB6">
        <w:t>Chrissy Findlay (</w:t>
      </w:r>
      <w:r w:rsidR="00797C89" w:rsidRPr="00871CB6">
        <w:rPr>
          <w:i/>
          <w:iCs/>
        </w:rPr>
        <w:t>Pinsent Masons LLP</w:t>
      </w:r>
      <w:r w:rsidR="00797C89" w:rsidRPr="00871CB6">
        <w:t xml:space="preserve">); </w:t>
      </w:r>
      <w:r w:rsidR="0057363A" w:rsidRPr="0057363A">
        <w:t>Kevin Hart (</w:t>
      </w:r>
      <w:r w:rsidR="0057363A" w:rsidRPr="0057363A">
        <w:rPr>
          <w:i/>
          <w:iCs/>
        </w:rPr>
        <w:t>City of London Law Society</w:t>
      </w:r>
      <w:r w:rsidR="0057363A" w:rsidRPr="0057363A">
        <w:t xml:space="preserve">); </w:t>
      </w:r>
      <w:r w:rsidR="00471CA3" w:rsidRPr="00871CB6">
        <w:t>Nicholas Holmes (</w:t>
      </w:r>
      <w:r w:rsidR="00471CA3" w:rsidRPr="00871CB6">
        <w:rPr>
          <w:i/>
          <w:iCs/>
        </w:rPr>
        <w:t>Ashurst LLP</w:t>
      </w:r>
      <w:r w:rsidR="00471CA3" w:rsidRPr="00871CB6">
        <w:t>)</w:t>
      </w:r>
      <w:r w:rsidR="00471CA3">
        <w:t>;</w:t>
      </w:r>
      <w:r w:rsidR="00514838">
        <w:t xml:space="preserve"> </w:t>
      </w:r>
      <w:r w:rsidR="00514838" w:rsidRPr="00871CB6">
        <w:t>Caroline Rae (</w:t>
      </w:r>
      <w:r w:rsidR="00514838" w:rsidRPr="00871CB6">
        <w:rPr>
          <w:i/>
          <w:iCs/>
        </w:rPr>
        <w:t>Herbert Smith Freehills LLP</w:t>
      </w:r>
      <w:r w:rsidR="00514838" w:rsidRPr="00871CB6">
        <w:t>);</w:t>
      </w:r>
      <w:r w:rsidR="006427AB">
        <w:t xml:space="preserve"> </w:t>
      </w:r>
      <w:r w:rsidR="006427AB" w:rsidRPr="006427AB">
        <w:t>Lucy Reeve (</w:t>
      </w:r>
      <w:r w:rsidR="006427AB" w:rsidRPr="006427AB">
        <w:rPr>
          <w:i/>
          <w:iCs/>
        </w:rPr>
        <w:t>Chair of the Law Society Company Law Committee</w:t>
      </w:r>
      <w:r w:rsidR="006427AB" w:rsidRPr="006427AB">
        <w:t>)</w:t>
      </w:r>
      <w:r w:rsidR="006427AB">
        <w:t>;</w:t>
      </w:r>
      <w:r w:rsidR="00514838">
        <w:t xml:space="preserve"> </w:t>
      </w:r>
      <w:r w:rsidR="0057363A" w:rsidRPr="0057363A">
        <w:t>Matthew Rous (</w:t>
      </w:r>
      <w:r w:rsidR="0057363A" w:rsidRPr="0057363A">
        <w:rPr>
          <w:i/>
          <w:iCs/>
        </w:rPr>
        <w:t>City of London Law Society</w:t>
      </w:r>
      <w:r w:rsidR="0057363A" w:rsidRPr="0057363A">
        <w:t>);</w:t>
      </w:r>
      <w:r w:rsidR="00514838">
        <w:t xml:space="preserve"> and</w:t>
      </w:r>
      <w:r w:rsidR="0057363A" w:rsidRPr="0057363A">
        <w:t xml:space="preserve"> </w:t>
      </w:r>
      <w:r w:rsidR="0057363A" w:rsidRPr="00871CB6">
        <w:t>Ziyad Nassif (</w:t>
      </w:r>
      <w:r w:rsidR="0057363A" w:rsidRPr="00871CB6">
        <w:rPr>
          <w:i/>
          <w:iCs/>
        </w:rPr>
        <w:t>Freshfields Bruckhaus Deringer LLP</w:t>
      </w:r>
      <w:r w:rsidR="0057363A" w:rsidRPr="00871CB6">
        <w:t>)</w:t>
      </w:r>
      <w:r w:rsidR="000F78A4">
        <w:t>.</w:t>
      </w:r>
    </w:p>
    <w:p w14:paraId="520E3757" w14:textId="46CB92BF" w:rsidR="008D6ED1" w:rsidRPr="00871CB6" w:rsidRDefault="008D6ED1" w:rsidP="00871CB6">
      <w:pPr>
        <w:pStyle w:val="BodyText1"/>
      </w:pPr>
      <w:r>
        <w:t>The Chair welcome</w:t>
      </w:r>
      <w:r w:rsidR="0014424F">
        <w:t>d</w:t>
      </w:r>
      <w:r>
        <w:t xml:space="preserve"> James Inness </w:t>
      </w:r>
      <w:r w:rsidR="0014424F">
        <w:t>as a new member of</w:t>
      </w:r>
      <w:r>
        <w:t xml:space="preserve"> the Committee</w:t>
      </w:r>
      <w:r w:rsidR="00D60F51">
        <w:t>.</w:t>
      </w:r>
    </w:p>
    <w:p w14:paraId="3CC35FC7" w14:textId="77777777" w:rsidR="001E2DD0" w:rsidRDefault="001E2DD0" w:rsidP="001E2DD0">
      <w:pPr>
        <w:pStyle w:val="General1L1"/>
        <w:rPr>
          <w:rFonts w:asciiTheme="minorHAnsi" w:hAnsiTheme="minorHAnsi" w:cstheme="minorHAnsi"/>
          <w:b/>
        </w:rPr>
      </w:pPr>
      <w:r w:rsidRPr="00A379D6">
        <w:rPr>
          <w:rFonts w:asciiTheme="minorHAnsi" w:hAnsiTheme="minorHAnsi" w:cstheme="minorHAnsi"/>
          <w:b/>
        </w:rPr>
        <w:t>Approval of minutes</w:t>
      </w:r>
    </w:p>
    <w:p w14:paraId="633138C5" w14:textId="243961F6" w:rsidR="002A1AFE" w:rsidRPr="002A1AFE" w:rsidRDefault="00497B9D" w:rsidP="002A1AFE">
      <w:pPr>
        <w:pStyle w:val="BodyText1"/>
      </w:pPr>
      <w:r w:rsidRPr="00497B9D">
        <w:t xml:space="preserve">The Chair noted that a draft version of the minutes of the meeting held on </w:t>
      </w:r>
      <w:r w:rsidR="000E1B2A">
        <w:t xml:space="preserve">27 November </w:t>
      </w:r>
      <w:r w:rsidR="0071666E">
        <w:t>202</w:t>
      </w:r>
      <w:r w:rsidR="00A958FA">
        <w:t>4</w:t>
      </w:r>
      <w:r w:rsidR="0071666E">
        <w:t xml:space="preserve"> </w:t>
      </w:r>
      <w:r w:rsidR="00042EE8" w:rsidRPr="00042EE8">
        <w:t>was circulated to members on</w:t>
      </w:r>
      <w:r w:rsidR="00950C50">
        <w:t xml:space="preserve"> </w:t>
      </w:r>
      <w:r w:rsidR="00000B38">
        <w:t>3 January 2025</w:t>
      </w:r>
      <w:r w:rsidR="00C8438F">
        <w:t>.</w:t>
      </w:r>
      <w:r>
        <w:t xml:space="preserve">  </w:t>
      </w:r>
      <w:r w:rsidRPr="00497B9D">
        <w:t>The Chair noted that the minutes are considered settled</w:t>
      </w:r>
      <w:r w:rsidR="00D2739B">
        <w:t>.</w:t>
      </w:r>
    </w:p>
    <w:p w14:paraId="2366743B" w14:textId="77777777" w:rsidR="001E2DD0" w:rsidRDefault="001E2DD0" w:rsidP="001E2DD0">
      <w:pPr>
        <w:pStyle w:val="General1L1"/>
        <w:rPr>
          <w:rFonts w:asciiTheme="minorHAnsi" w:hAnsiTheme="minorHAnsi" w:cstheme="minorHAnsi"/>
          <w:b/>
        </w:rPr>
      </w:pPr>
      <w:bookmarkStart w:id="0" w:name="_Hlk118888362"/>
      <w:r w:rsidRPr="00A379D6">
        <w:rPr>
          <w:rFonts w:asciiTheme="minorHAnsi" w:hAnsiTheme="minorHAnsi" w:cstheme="minorHAnsi"/>
          <w:b/>
        </w:rPr>
        <w:t>Matters arising</w:t>
      </w:r>
    </w:p>
    <w:p w14:paraId="61EEA32D" w14:textId="72EA6905" w:rsidR="00F51580" w:rsidRPr="00E10E3F" w:rsidRDefault="00E10E3F" w:rsidP="00F51580">
      <w:pPr>
        <w:pStyle w:val="General1L2"/>
      </w:pPr>
      <w:bookmarkStart w:id="1" w:name="_Hlk187827797"/>
      <w:r w:rsidRPr="00FE4F6C">
        <w:rPr>
          <w:i/>
          <w:iCs/>
        </w:rPr>
        <w:t>Companies House</w:t>
      </w:r>
      <w:r>
        <w:rPr>
          <w:i/>
          <w:iCs/>
        </w:rPr>
        <w:t xml:space="preserve"> </w:t>
      </w:r>
      <w:r w:rsidRPr="00FE4F6C">
        <w:rPr>
          <w:i/>
          <w:iCs/>
        </w:rPr>
        <w:t xml:space="preserve">ECCTA </w:t>
      </w:r>
      <w:r>
        <w:rPr>
          <w:i/>
          <w:iCs/>
        </w:rPr>
        <w:t>implementation</w:t>
      </w:r>
      <w:r w:rsidRPr="00FE4F6C">
        <w:rPr>
          <w:i/>
          <w:iCs/>
        </w:rPr>
        <w:t xml:space="preserve"> plan</w:t>
      </w:r>
      <w:r>
        <w:t xml:space="preserve">. </w:t>
      </w:r>
      <w:r w:rsidR="003F4B8E">
        <w:t xml:space="preserve"> </w:t>
      </w:r>
      <w:r w:rsidR="00871CB6" w:rsidRPr="00871CB6">
        <w:t>The Chair reported</w:t>
      </w:r>
      <w:r w:rsidR="00871CB6">
        <w:t xml:space="preserve"> that on </w:t>
      </w:r>
      <w:r w:rsidR="00273105">
        <w:t xml:space="preserve">21 January 2025 Companies House published an updated version of its </w:t>
      </w:r>
      <w:r w:rsidR="00273105" w:rsidRPr="00871CB6">
        <w:t>policy paper</w:t>
      </w:r>
      <w:r w:rsidR="00273105">
        <w:t xml:space="preserve"> that contains its current intended timetable for implementing the reforms in ECCTA 2023.  </w:t>
      </w:r>
      <w:r w:rsidR="00871CB6">
        <w:t xml:space="preserve">The Chair noted that the </w:t>
      </w:r>
      <w:r w:rsidR="00F2466B">
        <w:t xml:space="preserve">revised timetable states that Companies House should be able to </w:t>
      </w:r>
      <w:r w:rsidR="00273105">
        <w:t>register AML-regulated UK firms as an Authorised Corporate Service Provider</w:t>
      </w:r>
      <w:r w:rsidR="00F2466B">
        <w:t xml:space="preserve"> from 25 February 2025</w:t>
      </w:r>
      <w:r w:rsidR="00273105">
        <w:t xml:space="preserve"> and should be able to allow individuals to voluntarily verify their identity</w:t>
      </w:r>
      <w:r w:rsidR="00F2466B">
        <w:t xml:space="preserve"> from 25 March 2025</w:t>
      </w:r>
      <w:r w:rsidR="00763446">
        <w:t>.</w:t>
      </w:r>
      <w:r w:rsidR="00F51580">
        <w:t xml:space="preserve">  The Chair also reported that the Registrar (Identity </w:t>
      </w:r>
      <w:r w:rsidR="00F51580">
        <w:lastRenderedPageBreak/>
        <w:t>Verification and Authorised Corporate Service Providers) Regulations 2025 and the Unique Identifiers (Application of Company Law) Regulations 2025 were made on 20 January 2025.  The Chair noted that no substantive changes have been made to the draft</w:t>
      </w:r>
      <w:r w:rsidR="00850CF7">
        <w:t>s</w:t>
      </w:r>
      <w:r w:rsidR="00F51580">
        <w:t xml:space="preserve"> of these regulations published in 2024, which have been considered previously by the Committee.</w:t>
      </w:r>
    </w:p>
    <w:p w14:paraId="6AC543FB" w14:textId="25CBDAE8" w:rsidR="00C51DFA" w:rsidRPr="004B0367" w:rsidRDefault="009247A7" w:rsidP="005B51B5">
      <w:pPr>
        <w:pStyle w:val="General1L2"/>
      </w:pPr>
      <w:r w:rsidRPr="00CD69FA">
        <w:rPr>
          <w:i/>
          <w:iCs/>
        </w:rPr>
        <w:t>Frischmann v Vaxeal Holdings SA [2023] EWHC 2698 (Ch)</w:t>
      </w:r>
      <w:r>
        <w:t xml:space="preserve">. </w:t>
      </w:r>
      <w:r w:rsidR="003F4B8E">
        <w:t xml:space="preserve"> </w:t>
      </w:r>
      <w:r w:rsidR="00871CB6">
        <w:t xml:space="preserve">The Chair </w:t>
      </w:r>
      <w:r w:rsidR="003D591F">
        <w:t>noted</w:t>
      </w:r>
      <w:r w:rsidR="00871CB6">
        <w:t xml:space="preserve"> that a </w:t>
      </w:r>
      <w:r>
        <w:t xml:space="preserve">final version of the note prepared by the CLLS Financial Law Committee </w:t>
      </w:r>
      <w:r w:rsidR="003D591F">
        <w:t xml:space="preserve">on whether </w:t>
      </w:r>
      <w:r w:rsidR="003D591F" w:rsidRPr="003D591F">
        <w:t xml:space="preserve">an attorney can execute a s.136 </w:t>
      </w:r>
      <w:r w:rsidR="003D591F">
        <w:t xml:space="preserve">Law of Property Act 1925 </w:t>
      </w:r>
      <w:r w:rsidR="003D591F" w:rsidRPr="003D591F">
        <w:t>legal assignment on behalf of an English or overseas company or an English LLP</w:t>
      </w:r>
      <w:r w:rsidR="003D591F">
        <w:t xml:space="preserve"> </w:t>
      </w:r>
      <w:r w:rsidR="00A05568">
        <w:t xml:space="preserve">had been circulated to members of the Committee with </w:t>
      </w:r>
      <w:r w:rsidR="003D591F">
        <w:t>the</w:t>
      </w:r>
      <w:r>
        <w:t xml:space="preserve"> agenda</w:t>
      </w:r>
      <w:r w:rsidR="003D591F">
        <w:t xml:space="preserve"> for this meeting of the Committee</w:t>
      </w:r>
      <w:r>
        <w:t xml:space="preserve">.  </w:t>
      </w:r>
      <w:r w:rsidR="003D591F">
        <w:t xml:space="preserve">Members of the Committee agreed that </w:t>
      </w:r>
      <w:r>
        <w:t>the note should be endorsed by the Committee</w:t>
      </w:r>
      <w:r w:rsidR="00874721">
        <w:t>.</w:t>
      </w:r>
    </w:p>
    <w:bookmarkEnd w:id="1"/>
    <w:p w14:paraId="6297B755" w14:textId="77777777" w:rsidR="001E2DD0" w:rsidRDefault="001E2DD0" w:rsidP="001E2DD0">
      <w:pPr>
        <w:pStyle w:val="General1L1"/>
        <w:rPr>
          <w:rFonts w:asciiTheme="minorHAnsi" w:hAnsiTheme="minorHAnsi" w:cstheme="minorHAnsi"/>
          <w:b/>
        </w:rPr>
      </w:pPr>
      <w:r w:rsidRPr="00A379D6">
        <w:rPr>
          <w:rFonts w:asciiTheme="minorHAnsi" w:hAnsiTheme="minorHAnsi" w:cstheme="minorHAnsi"/>
          <w:b/>
        </w:rPr>
        <w:t>Discussions</w:t>
      </w:r>
    </w:p>
    <w:p w14:paraId="17C5B7D9" w14:textId="1FF55154" w:rsidR="008F460C" w:rsidRDefault="00E408BC" w:rsidP="006D3B88">
      <w:pPr>
        <w:pStyle w:val="General1L2"/>
      </w:pPr>
      <w:r w:rsidRPr="00824C6C">
        <w:rPr>
          <w:i/>
          <w:iCs/>
        </w:rPr>
        <w:t>FCA enforcement guidance consultation</w:t>
      </w:r>
      <w:r>
        <w:t xml:space="preserve">. </w:t>
      </w:r>
      <w:r w:rsidR="003F4B8E">
        <w:t xml:space="preserve"> </w:t>
      </w:r>
      <w:r w:rsidR="00871CB6">
        <w:t xml:space="preserve">The Chair reported that on </w:t>
      </w:r>
      <w:r>
        <w:t xml:space="preserve">28 November 2024 the FCA </w:t>
      </w:r>
      <w:r w:rsidR="00B10461">
        <w:t>published</w:t>
      </w:r>
      <w:r>
        <w:t xml:space="preserve"> the </w:t>
      </w:r>
      <w:r w:rsidRPr="00871CB6">
        <w:t>second phase of its consultation on enforcement transparency proposals</w:t>
      </w:r>
      <w:r>
        <w:t>.</w:t>
      </w:r>
      <w:r w:rsidR="00824C6C">
        <w:t xml:space="preserve">  </w:t>
      </w:r>
      <w:r w:rsidR="00895A23">
        <w:t>The Chair</w:t>
      </w:r>
      <w:r w:rsidR="00282BF3">
        <w:t xml:space="preserve"> noted that t</w:t>
      </w:r>
      <w:r w:rsidR="00824C6C">
        <w:t xml:space="preserve">he FCA </w:t>
      </w:r>
      <w:r w:rsidR="00895A23">
        <w:t xml:space="preserve">has </w:t>
      </w:r>
      <w:r w:rsidR="00824C6C">
        <w:t>highlight</w:t>
      </w:r>
      <w:r w:rsidR="00282BF3">
        <w:t>ed</w:t>
      </w:r>
      <w:r w:rsidR="00824C6C">
        <w:t xml:space="preserve"> that </w:t>
      </w:r>
      <w:r w:rsidR="00282BF3">
        <w:t xml:space="preserve">it has made </w:t>
      </w:r>
      <w:r w:rsidR="007916AB">
        <w:t xml:space="preserve">the following </w:t>
      </w:r>
      <w:r w:rsidR="00824C6C">
        <w:t xml:space="preserve">four significant changes </w:t>
      </w:r>
      <w:r w:rsidR="00282BF3">
        <w:t>to its</w:t>
      </w:r>
      <w:r w:rsidR="00824C6C">
        <w:t xml:space="preserve"> initial proposals in response to feedback received: (i) t</w:t>
      </w:r>
      <w:r w:rsidR="00824C6C" w:rsidRPr="00824C6C">
        <w:t>he potential negative impact on a firm would be explicitly considered as part of a public interest test</w:t>
      </w:r>
      <w:r w:rsidR="00824C6C">
        <w:t>; (ii) f</w:t>
      </w:r>
      <w:r w:rsidR="00824C6C" w:rsidRPr="00824C6C">
        <w:t xml:space="preserve">irms would be given 10 </w:t>
      </w:r>
      <w:r w:rsidR="002803CF">
        <w:t xml:space="preserve">business </w:t>
      </w:r>
      <w:r w:rsidR="00824C6C" w:rsidRPr="00824C6C">
        <w:t>days’ notice ahead of any announcement being made</w:t>
      </w:r>
      <w:r w:rsidR="002803CF">
        <w:t xml:space="preserve"> to allow them</w:t>
      </w:r>
      <w:r w:rsidR="00824C6C">
        <w:t xml:space="preserve"> to make</w:t>
      </w:r>
      <w:r w:rsidR="00824C6C" w:rsidRPr="00824C6C">
        <w:t xml:space="preserve"> representations</w:t>
      </w:r>
      <w:r w:rsidR="00824C6C">
        <w:t xml:space="preserve"> to the FCA</w:t>
      </w:r>
      <w:r w:rsidR="00824C6C" w:rsidRPr="00824C6C">
        <w:t xml:space="preserve">. </w:t>
      </w:r>
      <w:r w:rsidR="007916AB">
        <w:t xml:space="preserve"> </w:t>
      </w:r>
      <w:r w:rsidR="00282BF3">
        <w:t>I</w:t>
      </w:r>
      <w:r w:rsidR="00871CB6">
        <w:t xml:space="preserve">f </w:t>
      </w:r>
      <w:r w:rsidR="00824C6C" w:rsidRPr="00824C6C">
        <w:t xml:space="preserve">the FCA decides to announce, firms would then have an additional 48 hours’ notice before </w:t>
      </w:r>
      <w:r w:rsidR="002803CF">
        <w:t>the announcement</w:t>
      </w:r>
      <w:r w:rsidR="00824C6C" w:rsidRPr="00824C6C">
        <w:t xml:space="preserve"> is published</w:t>
      </w:r>
      <w:r w:rsidR="00D33AA8">
        <w:t xml:space="preserve">.  The new proposed period </w:t>
      </w:r>
      <w:r w:rsidR="00895A23">
        <w:t>is intended to</w:t>
      </w:r>
      <w:r w:rsidR="00D33AA8">
        <w:t xml:space="preserve"> give firms time to consider whether they want or need to make an announcement themselves</w:t>
      </w:r>
      <w:r w:rsidR="00824C6C">
        <w:t>; (iii) t</w:t>
      </w:r>
      <w:r w:rsidR="00824C6C" w:rsidRPr="00824C6C">
        <w:t>he potential for an announcement to seriously disrupt public confidence in the financial system or the market has also been included as a new factor in the public interest test</w:t>
      </w:r>
      <w:r w:rsidR="00824C6C">
        <w:t>; and (iv) t</w:t>
      </w:r>
      <w:r w:rsidR="00824C6C" w:rsidRPr="00824C6C">
        <w:t>he FCA w</w:t>
      </w:r>
      <w:r w:rsidR="00824C6C">
        <w:t>ill not</w:t>
      </w:r>
      <w:r w:rsidR="00824C6C" w:rsidRPr="00824C6C">
        <w:t xml:space="preserve"> announce investigations which began before any changes to the policy come into effect.</w:t>
      </w:r>
      <w:r w:rsidR="00B1009D">
        <w:t xml:space="preserve">  </w:t>
      </w:r>
      <w:r w:rsidR="008F460C">
        <w:t>It was noted that t</w:t>
      </w:r>
      <w:r w:rsidR="00B1009D">
        <w:t>he consultation closes on 17 February 2025.</w:t>
      </w:r>
    </w:p>
    <w:p w14:paraId="3C884BAE" w14:textId="4B81C0D9" w:rsidR="008A249A" w:rsidRDefault="00503177" w:rsidP="00503177">
      <w:pPr>
        <w:pStyle w:val="General1L2"/>
      </w:pPr>
      <w:r w:rsidRPr="005A668A">
        <w:rPr>
          <w:i/>
          <w:iCs/>
        </w:rPr>
        <w:t>FCA consult</w:t>
      </w:r>
      <w:r w:rsidR="0081516F">
        <w:rPr>
          <w:i/>
          <w:iCs/>
        </w:rPr>
        <w:t>ation</w:t>
      </w:r>
      <w:r w:rsidRPr="005A668A">
        <w:rPr>
          <w:i/>
          <w:iCs/>
        </w:rPr>
        <w:t xml:space="preserve"> on </w:t>
      </w:r>
      <w:r w:rsidR="001C454A">
        <w:rPr>
          <w:i/>
          <w:iCs/>
        </w:rPr>
        <w:t xml:space="preserve">the </w:t>
      </w:r>
      <w:r w:rsidRPr="00584251">
        <w:rPr>
          <w:i/>
          <w:iCs/>
        </w:rPr>
        <w:t>regulatory framework for PISCES</w:t>
      </w:r>
      <w:r>
        <w:t xml:space="preserve">. </w:t>
      </w:r>
      <w:r w:rsidR="003F4B8E">
        <w:t xml:space="preserve"> </w:t>
      </w:r>
      <w:r w:rsidR="00871CB6">
        <w:t xml:space="preserve">The Chair reported that on </w:t>
      </w:r>
      <w:r>
        <w:t xml:space="preserve">17 December 2024 the FCA </w:t>
      </w:r>
      <w:r w:rsidR="00B10461">
        <w:t xml:space="preserve">published </w:t>
      </w:r>
      <w:r w:rsidR="0081516F">
        <w:t>its</w:t>
      </w:r>
      <w:r>
        <w:t xml:space="preserve"> consultation on </w:t>
      </w:r>
      <w:r w:rsidRPr="00871CB6">
        <w:t>Private Intermittent Securities and Capital Exchange System</w:t>
      </w:r>
      <w:r w:rsidR="000E1846">
        <w:t xml:space="preserve"> (</w:t>
      </w:r>
      <w:r w:rsidR="000E1846" w:rsidRPr="000E1846">
        <w:rPr>
          <w:b/>
          <w:bCs/>
        </w:rPr>
        <w:t>PISCES</w:t>
      </w:r>
      <w:r w:rsidR="000E1846">
        <w:t>)</w:t>
      </w:r>
      <w:r w:rsidRPr="00871CB6">
        <w:t>: Sandbox Arrangements</w:t>
      </w:r>
      <w:r>
        <w:t>.</w:t>
      </w:r>
      <w:r w:rsidR="0088598B">
        <w:t xml:space="preserve">  </w:t>
      </w:r>
      <w:r w:rsidR="000E1846">
        <w:t>It was noted that t</w:t>
      </w:r>
      <w:r w:rsidR="00CA1DB8" w:rsidRPr="00CA1DB8">
        <w:t>h</w:t>
      </w:r>
      <w:r w:rsidR="00E24F4D">
        <w:t>e</w:t>
      </w:r>
      <w:r w:rsidR="00CA1DB8" w:rsidRPr="00CA1DB8">
        <w:t xml:space="preserve"> consultation </w:t>
      </w:r>
      <w:r w:rsidR="00E24F4D">
        <w:t xml:space="preserve">paper </w:t>
      </w:r>
      <w:r w:rsidR="00CA1DB8" w:rsidRPr="00CA1DB8">
        <w:t xml:space="preserve">contains the FCA's proposed rules and guidance for the PISCES </w:t>
      </w:r>
      <w:r w:rsidR="00ED3E4F">
        <w:t>S</w:t>
      </w:r>
      <w:r w:rsidR="00CA1DB8" w:rsidRPr="00CA1DB8">
        <w:t>andbox</w:t>
      </w:r>
      <w:r w:rsidR="00CA1DB8">
        <w:t xml:space="preserve"> and </w:t>
      </w:r>
      <w:r w:rsidR="00CA1DB8" w:rsidRPr="00CA1DB8">
        <w:t>Appendix 1 contains the draft PISCES Sourcebook.</w:t>
      </w:r>
      <w:r w:rsidR="00A439B5">
        <w:t xml:space="preserve">  </w:t>
      </w:r>
      <w:r w:rsidR="000E1846">
        <w:t xml:space="preserve">It was also noted that </w:t>
      </w:r>
      <w:r w:rsidR="0088598B">
        <w:t xml:space="preserve">HMT </w:t>
      </w:r>
      <w:r w:rsidR="0088598B" w:rsidRPr="0088598B">
        <w:t xml:space="preserve">intends to lay a statutory instrument </w:t>
      </w:r>
      <w:r w:rsidR="009F1474">
        <w:t>that</w:t>
      </w:r>
      <w:r w:rsidR="009F1474" w:rsidRPr="0088598B">
        <w:t xml:space="preserve"> will provide the legal framework for the PISCES Sandbox </w:t>
      </w:r>
      <w:r w:rsidR="0088598B" w:rsidRPr="0088598B">
        <w:t>before Parliament by May 2025</w:t>
      </w:r>
      <w:r w:rsidR="0088598B">
        <w:t xml:space="preserve"> and </w:t>
      </w:r>
      <w:r w:rsidR="009F1474">
        <w:t xml:space="preserve">that </w:t>
      </w:r>
      <w:r w:rsidR="0088598B">
        <w:t>t</w:t>
      </w:r>
      <w:r w:rsidR="0088598B" w:rsidRPr="0088598B">
        <w:t xml:space="preserve">he FCA expects to publish its final rules </w:t>
      </w:r>
      <w:r w:rsidR="0088598B">
        <w:t xml:space="preserve">on PISCES </w:t>
      </w:r>
      <w:r w:rsidR="0088598B" w:rsidRPr="0088598B">
        <w:t>shortly thereafter</w:t>
      </w:r>
      <w:r w:rsidR="009F1474">
        <w:t>.  It was further noted that the FCA</w:t>
      </w:r>
      <w:r w:rsidR="00A439B5" w:rsidRPr="00A439B5">
        <w:t xml:space="preserve"> will publish further information in early 2025 for firms interested in applying to be a PISCES operator.</w:t>
      </w:r>
      <w:r w:rsidR="00871CB6">
        <w:t xml:space="preserve">  The Chair noted that the </w:t>
      </w:r>
      <w:r w:rsidR="003E5DE6" w:rsidRPr="00AD458E">
        <w:t>Joint Prospectus and Listing Rules Working Group</w:t>
      </w:r>
      <w:r w:rsidR="003E5DE6">
        <w:t xml:space="preserve"> is preparing a response to this consultation</w:t>
      </w:r>
      <w:r w:rsidR="00531431">
        <w:t>, which closes on 17 February 2025</w:t>
      </w:r>
      <w:r w:rsidR="00463444">
        <w:t>, and therefore the final response will be added to the agenda for the meeting of the Committee to be held in March 2025</w:t>
      </w:r>
      <w:r w:rsidR="00C82881">
        <w:t>.</w:t>
      </w:r>
    </w:p>
    <w:p w14:paraId="7C51FD01" w14:textId="037E6D00" w:rsidR="00503177" w:rsidRDefault="00EF06C1" w:rsidP="00EF06C1">
      <w:pPr>
        <w:pStyle w:val="General1L2"/>
      </w:pPr>
      <w:r>
        <w:rPr>
          <w:i/>
          <w:iCs/>
        </w:rPr>
        <w:t>Sanctions and dividends/other corporate actions</w:t>
      </w:r>
      <w:r>
        <w:t>.</w:t>
      </w:r>
      <w:r w:rsidR="007459BD">
        <w:t xml:space="preserve">  </w:t>
      </w:r>
      <w:r w:rsidR="00A52FF1">
        <w:t>Sarah Hawes</w:t>
      </w:r>
      <w:r>
        <w:t xml:space="preserve"> led discussions on how sanctions are being dealt with in practice in respect of dividends and other corporate actions in advance of this year's AGM season and dividend round,</w:t>
      </w:r>
      <w:r w:rsidR="009E58C8">
        <w:t xml:space="preserve"> particularly </w:t>
      </w:r>
      <w:r>
        <w:t xml:space="preserve">in light of the addition of the Russian National Settlement Depository to the UK's list of designated persons in </w:t>
      </w:r>
      <w:r w:rsidR="0079355B">
        <w:t xml:space="preserve">summer </w:t>
      </w:r>
      <w:r>
        <w:t>2024</w:t>
      </w:r>
      <w:r w:rsidR="004864B4">
        <w:t>.</w:t>
      </w:r>
    </w:p>
    <w:p w14:paraId="6A4A7D1E" w14:textId="77777777" w:rsidR="001E2DD0" w:rsidRDefault="001E2DD0" w:rsidP="009079E9">
      <w:pPr>
        <w:pStyle w:val="General1L1"/>
        <w:keepNext/>
        <w:rPr>
          <w:rFonts w:asciiTheme="minorHAnsi" w:hAnsiTheme="minorHAnsi" w:cstheme="minorHAnsi"/>
          <w:b/>
        </w:rPr>
      </w:pPr>
      <w:r w:rsidRPr="00A379D6">
        <w:rPr>
          <w:rFonts w:asciiTheme="minorHAnsi" w:hAnsiTheme="minorHAnsi" w:cstheme="minorHAnsi"/>
          <w:b/>
        </w:rPr>
        <w:lastRenderedPageBreak/>
        <w:t>Recent developments</w:t>
      </w:r>
    </w:p>
    <w:p w14:paraId="60F5FC74" w14:textId="3523D49F" w:rsidR="007E0910" w:rsidRDefault="007E0910" w:rsidP="007E0910">
      <w:pPr>
        <w:pStyle w:val="General1L1"/>
        <w:numPr>
          <w:ilvl w:val="0"/>
          <w:numId w:val="0"/>
        </w:numPr>
        <w:ind w:left="720"/>
      </w:pPr>
      <w:r>
        <w:t>The Committee noted the following additional items in sections 5.1 to 5.9</w:t>
      </w:r>
      <w:r w:rsidR="00AC733B">
        <w:t>,</w:t>
      </w:r>
      <w:r>
        <w:t xml:space="preserve"> with the Chair briefly commenting on the cases at items 5.9(a), (b) and (c)</w:t>
      </w:r>
      <w:r w:rsidR="009F46F2">
        <w:t>.</w:t>
      </w:r>
    </w:p>
    <w:p w14:paraId="46AED2F9" w14:textId="4EDCE75B" w:rsidR="001E2DD0" w:rsidRDefault="001E2DD0" w:rsidP="009079E9">
      <w:pPr>
        <w:pStyle w:val="General1L2"/>
        <w:keepNext/>
        <w:rPr>
          <w:b/>
        </w:rPr>
      </w:pPr>
      <w:r w:rsidRPr="00F74051">
        <w:rPr>
          <w:b/>
        </w:rPr>
        <w:t xml:space="preserve">Company </w:t>
      </w:r>
      <w:r w:rsidR="00752895">
        <w:rPr>
          <w:b/>
        </w:rPr>
        <w:t>l</w:t>
      </w:r>
      <w:r w:rsidRPr="00F74051">
        <w:rPr>
          <w:b/>
        </w:rPr>
        <w:t>aw</w:t>
      </w:r>
    </w:p>
    <w:p w14:paraId="1F4D6DB0" w14:textId="1D2CB571" w:rsidR="000440C6" w:rsidRPr="000440C6" w:rsidRDefault="000440C6" w:rsidP="000440C6">
      <w:pPr>
        <w:pStyle w:val="General1L3"/>
      </w:pPr>
      <w:r w:rsidRPr="000440C6">
        <w:rPr>
          <w:i/>
          <w:iCs/>
        </w:rPr>
        <w:t>The Companies and Limited Liability Partnerships (Protection and Disclosure of Information and Consequential Amendments) Regulations 2024</w:t>
      </w:r>
      <w:r>
        <w:t xml:space="preserve">. </w:t>
      </w:r>
      <w:r w:rsidR="00237B0F">
        <w:t xml:space="preserve"> </w:t>
      </w:r>
      <w:r w:rsidRPr="00871CB6">
        <w:t>The Companies and Limited Liability Partnerships (Protection and Disclosure of Information and Consequential Amendments) Regulations 2024</w:t>
      </w:r>
      <w:r>
        <w:t xml:space="preserve"> were made on 19 December 2024 and c</w:t>
      </w:r>
      <w:r w:rsidR="00FC2007">
        <w:t>a</w:t>
      </w:r>
      <w:r>
        <w:t>me into force on 27 January 2025</w:t>
      </w:r>
      <w:r w:rsidR="004B5673">
        <w:t xml:space="preserve"> </w:t>
      </w:r>
      <w:r w:rsidR="004B5673" w:rsidRPr="004B5673">
        <w:t xml:space="preserve">(see also the </w:t>
      </w:r>
      <w:r w:rsidR="004B5673" w:rsidRPr="00871CB6">
        <w:t>explanatory memorandum</w:t>
      </w:r>
      <w:r w:rsidR="004B5673" w:rsidRPr="004B5673">
        <w:t>)</w:t>
      </w:r>
      <w:r>
        <w:t xml:space="preserve">.  </w:t>
      </w:r>
      <w:r w:rsidRPr="000440C6">
        <w:t>No substantive changes have been made to the draft of the</w:t>
      </w:r>
      <w:r w:rsidR="00E80DE1">
        <w:t>se r</w:t>
      </w:r>
      <w:r w:rsidRPr="000440C6">
        <w:t>egulations</w:t>
      </w:r>
      <w:r w:rsidR="00FD49B4">
        <w:t xml:space="preserve"> that w</w:t>
      </w:r>
      <w:r w:rsidR="00E02D8E">
        <w:t>as</w:t>
      </w:r>
      <w:r w:rsidRPr="000440C6">
        <w:t xml:space="preserve"> </w:t>
      </w:r>
      <w:r w:rsidR="00E80DE1">
        <w:t>laid before Parliament on 31</w:t>
      </w:r>
      <w:r w:rsidRPr="000440C6">
        <w:t xml:space="preserve"> October 2024</w:t>
      </w:r>
      <w:r w:rsidR="00E80DE1">
        <w:t>, which w</w:t>
      </w:r>
      <w:r w:rsidR="009A0A14">
        <w:t>as</w:t>
      </w:r>
      <w:r w:rsidR="00E80DE1">
        <w:t xml:space="preserve"> </w:t>
      </w:r>
      <w:r w:rsidR="00AA12AF">
        <w:t>noted</w:t>
      </w:r>
      <w:r w:rsidR="00E80DE1">
        <w:t xml:space="preserve"> at the meeting of the Committee held in November 2024</w:t>
      </w:r>
      <w:r w:rsidR="00643304">
        <w:t>.</w:t>
      </w:r>
    </w:p>
    <w:p w14:paraId="02262ABE" w14:textId="6822D72E" w:rsidR="00EB2DC6" w:rsidRPr="00EB2DC6" w:rsidRDefault="002B73F9" w:rsidP="00FD19F9">
      <w:pPr>
        <w:pStyle w:val="General1L3"/>
      </w:pPr>
      <w:r>
        <w:rPr>
          <w:i/>
          <w:iCs/>
        </w:rPr>
        <w:t xml:space="preserve">The </w:t>
      </w:r>
      <w:r w:rsidR="00EB2DC6" w:rsidRPr="00EB2DC6">
        <w:rPr>
          <w:i/>
          <w:iCs/>
        </w:rPr>
        <w:t>Information Sharing (Disclosure by the Registrar) Regulations 2024</w:t>
      </w:r>
      <w:r w:rsidR="00EB2DC6">
        <w:t xml:space="preserve">. </w:t>
      </w:r>
      <w:r w:rsidR="00237B0F">
        <w:t xml:space="preserve"> </w:t>
      </w:r>
      <w:r w:rsidRPr="00871CB6">
        <w:t>The I</w:t>
      </w:r>
      <w:r w:rsidR="00EB2DC6" w:rsidRPr="00871CB6">
        <w:t>nformation Sharing (Disclosure by the Registrar) Regulations 2024</w:t>
      </w:r>
      <w:r w:rsidR="00EB2DC6" w:rsidRPr="00EB2DC6">
        <w:t xml:space="preserve"> </w:t>
      </w:r>
      <w:r>
        <w:t>were made on 19 December 2024 and came into force on 20 December 202</w:t>
      </w:r>
      <w:r w:rsidR="00FD49B4">
        <w:t>4</w:t>
      </w:r>
      <w:r>
        <w:t xml:space="preserve"> (see also the </w:t>
      </w:r>
      <w:r w:rsidR="00EB2DC6" w:rsidRPr="00871CB6">
        <w:t>explanatory memorandum</w:t>
      </w:r>
      <w:r>
        <w:t>)</w:t>
      </w:r>
      <w:r w:rsidR="00EB2DC6">
        <w:t>.</w:t>
      </w:r>
      <w:r w:rsidR="00145B53">
        <w:t xml:space="preserve">  </w:t>
      </w:r>
      <w:r w:rsidR="00C31658" w:rsidRPr="00C31658">
        <w:t xml:space="preserve">No substantive changes have been made to the draft </w:t>
      </w:r>
      <w:r w:rsidR="00E80DE1">
        <w:t>of the</w:t>
      </w:r>
      <w:r w:rsidR="00CE77F8">
        <w:t>se r</w:t>
      </w:r>
      <w:r w:rsidR="00C31658" w:rsidRPr="00C31658">
        <w:t xml:space="preserve">egulations </w:t>
      </w:r>
      <w:r w:rsidR="00FD49B4">
        <w:t>that w</w:t>
      </w:r>
      <w:r w:rsidR="00E02D8E">
        <w:t>as</w:t>
      </w:r>
      <w:r w:rsidR="00FD49B4">
        <w:t xml:space="preserve"> </w:t>
      </w:r>
      <w:r w:rsidR="005A087D">
        <w:t xml:space="preserve">laid before Parliament </w:t>
      </w:r>
      <w:r w:rsidR="00C31658" w:rsidRPr="00C31658">
        <w:t>on 22 May 2024</w:t>
      </w:r>
      <w:r w:rsidR="008F4A99">
        <w:t>, which w</w:t>
      </w:r>
      <w:r w:rsidR="00462139">
        <w:t>as</w:t>
      </w:r>
      <w:r w:rsidR="008F4A99">
        <w:t xml:space="preserve"> </w:t>
      </w:r>
      <w:r w:rsidR="00AA12AF">
        <w:t>noted</w:t>
      </w:r>
      <w:r w:rsidR="008F4A99">
        <w:t xml:space="preserve"> at the meeting of the Committee held in May 2024</w:t>
      </w:r>
      <w:r w:rsidR="00747449">
        <w:t>.</w:t>
      </w:r>
    </w:p>
    <w:p w14:paraId="5541D50A" w14:textId="1BA5F114" w:rsidR="00D75834" w:rsidRPr="00045DB0" w:rsidRDefault="00F26DE3" w:rsidP="007B2093">
      <w:pPr>
        <w:pStyle w:val="General1L3"/>
      </w:pPr>
      <w:r w:rsidRPr="007B2093">
        <w:rPr>
          <w:i/>
          <w:iCs/>
        </w:rPr>
        <w:t xml:space="preserve">EU </w:t>
      </w:r>
      <w:r w:rsidR="007B2093">
        <w:rPr>
          <w:i/>
          <w:iCs/>
        </w:rPr>
        <w:t>d</w:t>
      </w:r>
      <w:r w:rsidR="00575F14" w:rsidRPr="007B2093">
        <w:rPr>
          <w:i/>
          <w:iCs/>
        </w:rPr>
        <w:t>irective upgrading company law for the digital era</w:t>
      </w:r>
      <w:r w:rsidR="00575F14" w:rsidRPr="00045DB0">
        <w:t xml:space="preserve">. </w:t>
      </w:r>
      <w:r w:rsidR="00237B0F">
        <w:t xml:space="preserve"> </w:t>
      </w:r>
      <w:r w:rsidR="00D75834" w:rsidRPr="00045DB0">
        <w:t xml:space="preserve">On 16 December 2024, the European Council </w:t>
      </w:r>
      <w:r w:rsidR="00D75834" w:rsidRPr="00871CB6">
        <w:t>announced</w:t>
      </w:r>
      <w:r w:rsidR="00D75834" w:rsidRPr="00045DB0">
        <w:t xml:space="preserve"> </w:t>
      </w:r>
      <w:r w:rsidR="007B2093">
        <w:t xml:space="preserve">that </w:t>
      </w:r>
      <w:r w:rsidR="00D75834" w:rsidRPr="00045DB0">
        <w:t xml:space="preserve">it </w:t>
      </w:r>
      <w:r w:rsidR="00045DB0">
        <w:t xml:space="preserve">has </w:t>
      </w:r>
      <w:r w:rsidR="00D75834" w:rsidRPr="00045DB0">
        <w:t>adopted a</w:t>
      </w:r>
      <w:r w:rsidR="00045DB0">
        <w:t>n EU d</w:t>
      </w:r>
      <w:r w:rsidR="00D75834" w:rsidRPr="00045DB0">
        <w:t>irective</w:t>
      </w:r>
      <w:r w:rsidR="00045DB0">
        <w:t xml:space="preserve"> that</w:t>
      </w:r>
      <w:r w:rsidR="00D75834" w:rsidRPr="00045DB0">
        <w:t xml:space="preserve"> expand</w:t>
      </w:r>
      <w:r w:rsidR="00045DB0">
        <w:t>s</w:t>
      </w:r>
      <w:r w:rsidR="00D75834" w:rsidRPr="00045DB0">
        <w:t xml:space="preserve"> and upgrad</w:t>
      </w:r>
      <w:r w:rsidR="00045DB0">
        <w:t>es</w:t>
      </w:r>
      <w:r w:rsidR="00D75834" w:rsidRPr="00045DB0">
        <w:t xml:space="preserve"> the use of digital tools and processes in company law.</w:t>
      </w:r>
      <w:r w:rsidR="007B2093">
        <w:t xml:space="preserve">  </w:t>
      </w:r>
      <w:r w:rsidR="00ED46A1">
        <w:t>T</w:t>
      </w:r>
      <w:r w:rsidR="007B2093" w:rsidRPr="007B2093">
        <w:t>he directive w</w:t>
      </w:r>
      <w:r w:rsidR="008E09CA">
        <w:t>as</w:t>
      </w:r>
      <w:r w:rsidR="007B2093" w:rsidRPr="007B2093">
        <w:t xml:space="preserve"> published in the Official Journal of the European Union</w:t>
      </w:r>
      <w:r w:rsidR="00ED46A1">
        <w:t xml:space="preserve"> on 10 January 2025</w:t>
      </w:r>
      <w:r w:rsidR="007B2093" w:rsidRPr="007B2093">
        <w:t xml:space="preserve"> and enter</w:t>
      </w:r>
      <w:r w:rsidR="00ED46A1">
        <w:t>s</w:t>
      </w:r>
      <w:r w:rsidR="007B2093" w:rsidRPr="007B2093">
        <w:t xml:space="preserve"> into force 20 days later.</w:t>
      </w:r>
      <w:r w:rsidR="00256B5D">
        <w:t xml:space="preserve">  </w:t>
      </w:r>
      <w:r w:rsidR="007B2093" w:rsidRPr="007B2093">
        <w:t xml:space="preserve">Member states </w:t>
      </w:r>
      <w:r w:rsidR="007B2093">
        <w:t xml:space="preserve">will then </w:t>
      </w:r>
      <w:r w:rsidR="007B2093" w:rsidRPr="007B2093">
        <w:t>have 30 months to implement the provisions necessary to comply with th</w:t>
      </w:r>
      <w:r w:rsidR="007B2093">
        <w:t>e</w:t>
      </w:r>
      <w:r w:rsidR="007B2093" w:rsidRPr="007B2093">
        <w:t xml:space="preserve"> directive, which will apply 42 months after its entry into force</w:t>
      </w:r>
      <w:r w:rsidR="001C5990">
        <w:t>.</w:t>
      </w:r>
    </w:p>
    <w:p w14:paraId="06E0C7EF" w14:textId="481E5F49" w:rsidR="00002D40" w:rsidRPr="00002D40" w:rsidRDefault="00285820" w:rsidP="00FD19F9">
      <w:pPr>
        <w:pStyle w:val="General1L3"/>
      </w:pPr>
      <w:r>
        <w:rPr>
          <w:i/>
          <w:iCs/>
        </w:rPr>
        <w:t xml:space="preserve">The </w:t>
      </w:r>
      <w:r w:rsidR="002061CD" w:rsidRPr="002061CD">
        <w:rPr>
          <w:i/>
          <w:iCs/>
        </w:rPr>
        <w:t>Companies (Accounts and Reports) (Amendment and Transitional Provision) Regulations 2024</w:t>
      </w:r>
      <w:r w:rsidR="002061CD">
        <w:t xml:space="preserve">. </w:t>
      </w:r>
      <w:r w:rsidR="00237B0F">
        <w:t xml:space="preserve"> </w:t>
      </w:r>
      <w:r w:rsidR="00002D40">
        <w:t>On 10 December 2024,</w:t>
      </w:r>
      <w:r w:rsidR="00C0116A">
        <w:t xml:space="preserve"> the </w:t>
      </w:r>
      <w:r w:rsidR="00C0116A" w:rsidRPr="00871CB6">
        <w:t>Companies (Accounts and Reports) (Amendment and Transitional Provision) Regulations 2024</w:t>
      </w:r>
      <w:r w:rsidR="00C0116A" w:rsidRPr="00C0116A">
        <w:t xml:space="preserve"> </w:t>
      </w:r>
      <w:r w:rsidR="00C0116A">
        <w:t xml:space="preserve">and </w:t>
      </w:r>
      <w:r w:rsidR="00C0116A" w:rsidRPr="00871CB6">
        <w:t>explanatory memorandum</w:t>
      </w:r>
      <w:r w:rsidR="00C0116A">
        <w:t xml:space="preserve"> </w:t>
      </w:r>
      <w:r w:rsidR="00C0116A" w:rsidRPr="00C0116A">
        <w:t>were</w:t>
      </w:r>
      <w:r w:rsidR="00C0116A">
        <w:t xml:space="preserve"> laid before Parliament</w:t>
      </w:r>
      <w:r w:rsidR="00102980">
        <w:t>.</w:t>
      </w:r>
      <w:r w:rsidR="00261996">
        <w:t xml:space="preserve">  These regulations amend legislation to: (i) i</w:t>
      </w:r>
      <w:r w:rsidR="00261996" w:rsidRPr="00261996">
        <w:t>ncreas</w:t>
      </w:r>
      <w:r w:rsidR="00261996">
        <w:t>e</w:t>
      </w:r>
      <w:r w:rsidR="00261996" w:rsidRPr="00261996">
        <w:t xml:space="preserve"> by approximately 50% the turnover and balance sheet criteria that help determine whether a company</w:t>
      </w:r>
      <w:r w:rsidR="000A66EF">
        <w:t xml:space="preserve"> or LLP</w:t>
      </w:r>
      <w:r w:rsidR="00261996" w:rsidRPr="00261996">
        <w:t xml:space="preserve"> is a micro-entity</w:t>
      </w:r>
      <w:r w:rsidR="00BD54F1">
        <w:t xml:space="preserve">, </w:t>
      </w:r>
      <w:r w:rsidR="00261996" w:rsidRPr="00261996">
        <w:t>small, medium-sized or large for the purpose of reporting and audit requirements</w:t>
      </w:r>
      <w:r w:rsidR="00261996">
        <w:t>; and (ii) r</w:t>
      </w:r>
      <w:r w:rsidR="00261996" w:rsidRPr="00261996">
        <w:t>emov</w:t>
      </w:r>
      <w:r w:rsidR="00261996">
        <w:t>e</w:t>
      </w:r>
      <w:r w:rsidR="00261996" w:rsidRPr="00261996">
        <w:t xml:space="preserve"> </w:t>
      </w:r>
      <w:r w:rsidR="00261996">
        <w:t xml:space="preserve">duplicative, obsolete or low-value </w:t>
      </w:r>
      <w:r w:rsidR="00261996" w:rsidRPr="00261996">
        <w:t xml:space="preserve">reporting requirements from the </w:t>
      </w:r>
      <w:r w:rsidR="00261996">
        <w:t>d</w:t>
      </w:r>
      <w:r w:rsidR="00261996" w:rsidRPr="00261996">
        <w:t xml:space="preserve">irectors’ </w:t>
      </w:r>
      <w:r w:rsidR="00261996">
        <w:t>r</w:t>
      </w:r>
      <w:r w:rsidR="00261996" w:rsidRPr="00261996">
        <w:t>eport</w:t>
      </w:r>
      <w:r w:rsidR="002E2951">
        <w:t>.</w:t>
      </w:r>
      <w:r w:rsidR="00CE3D85">
        <w:t xml:space="preserve">  The</w:t>
      </w:r>
      <w:r w:rsidR="00F457EC">
        <w:t>se regulations</w:t>
      </w:r>
      <w:r w:rsidR="00CE3D85">
        <w:t xml:space="preserve"> come into force on 6 April 2025 and </w:t>
      </w:r>
      <w:r w:rsidR="00CE3D85" w:rsidRPr="00CE3D85">
        <w:t>the amendments they make have effect in relation to financial years beginning on or after 6 April 2025</w:t>
      </w:r>
      <w:r w:rsidR="00A43D30">
        <w:t>.</w:t>
      </w:r>
    </w:p>
    <w:p w14:paraId="5C672E38" w14:textId="3CE281C4" w:rsidR="00FF11CB" w:rsidRPr="00FF11CB" w:rsidRDefault="001E2DD0" w:rsidP="00FF11CB">
      <w:pPr>
        <w:pStyle w:val="General1L2"/>
        <w:keepNext/>
        <w:rPr>
          <w:b/>
        </w:rPr>
      </w:pPr>
      <w:r w:rsidRPr="00F74051">
        <w:rPr>
          <w:b/>
        </w:rPr>
        <w:t xml:space="preserve">Corporate </w:t>
      </w:r>
      <w:r w:rsidR="00752895">
        <w:rPr>
          <w:b/>
        </w:rPr>
        <w:t>g</w:t>
      </w:r>
      <w:r w:rsidRPr="00F74051">
        <w:rPr>
          <w:b/>
        </w:rPr>
        <w:t>overnance</w:t>
      </w:r>
    </w:p>
    <w:p w14:paraId="7E51C04E" w14:textId="173023C2" w:rsidR="006A1684" w:rsidRPr="006A1684" w:rsidRDefault="00A73371" w:rsidP="00697403">
      <w:pPr>
        <w:pStyle w:val="General1L3"/>
      </w:pPr>
      <w:r w:rsidRPr="00A73371">
        <w:rPr>
          <w:i/>
          <w:iCs/>
        </w:rPr>
        <w:t>ISS Proxy Voting Guidelines 2025 update</w:t>
      </w:r>
      <w:r w:rsidR="004367A9">
        <w:rPr>
          <w:i/>
          <w:iCs/>
        </w:rPr>
        <w:t>s</w:t>
      </w:r>
      <w:r>
        <w:t xml:space="preserve">. </w:t>
      </w:r>
      <w:r w:rsidR="001E0276">
        <w:t xml:space="preserve"> </w:t>
      </w:r>
      <w:r w:rsidR="00D71D1E" w:rsidRPr="00D71D1E">
        <w:t>On 17 December 2024, I</w:t>
      </w:r>
      <w:r w:rsidR="00697403">
        <w:t>SS Governance</w:t>
      </w:r>
      <w:r w:rsidR="006A1684">
        <w:t xml:space="preserve"> </w:t>
      </w:r>
      <w:r w:rsidR="00D71D1E" w:rsidRPr="00871CB6">
        <w:t>announced</w:t>
      </w:r>
      <w:r w:rsidR="00D71D1E">
        <w:t xml:space="preserve"> </w:t>
      </w:r>
      <w:r w:rsidR="006A1684">
        <w:t xml:space="preserve">the publication </w:t>
      </w:r>
      <w:r w:rsidR="00697403">
        <w:t>of updates to its 2025 benchmark proxy voting policies</w:t>
      </w:r>
      <w:r w:rsidR="002C4F2F">
        <w:t xml:space="preserve">, including for </w:t>
      </w:r>
      <w:r w:rsidR="002C4F2F" w:rsidRPr="00871CB6">
        <w:t>EMEA</w:t>
      </w:r>
      <w:r w:rsidR="00045AC7">
        <w:t>, along with</w:t>
      </w:r>
      <w:r w:rsidR="002C4F2F">
        <w:t xml:space="preserve"> a</w:t>
      </w:r>
      <w:r w:rsidR="006A1684" w:rsidRPr="006A1684">
        <w:t xml:space="preserve">n </w:t>
      </w:r>
      <w:r w:rsidR="006A1684" w:rsidRPr="00871CB6">
        <w:t>executive summary of the key updates and policy development process</w:t>
      </w:r>
      <w:r w:rsidR="006A1684" w:rsidRPr="006A1684">
        <w:t>.</w:t>
      </w:r>
      <w:r w:rsidR="00045AC7">
        <w:t xml:space="preserve">  </w:t>
      </w:r>
      <w:r w:rsidR="00045AC7" w:rsidRPr="00045AC7">
        <w:t xml:space="preserve">On 9 January 2025, ISS Governance published an updated version of its </w:t>
      </w:r>
      <w:r w:rsidR="00045AC7" w:rsidRPr="00871CB6">
        <w:t>UK and Ireland proxy voting guidelines</w:t>
      </w:r>
      <w:r w:rsidR="00045AC7" w:rsidRPr="00045AC7">
        <w:t>, which includes the updates announced on 17 December 2024.</w:t>
      </w:r>
      <w:r w:rsidR="00045AC7">
        <w:t xml:space="preserve">  </w:t>
      </w:r>
      <w:r w:rsidR="006A1684" w:rsidRPr="006A1684">
        <w:t xml:space="preserve">The </w:t>
      </w:r>
      <w:r w:rsidR="006A1684" w:rsidRPr="006A1684">
        <w:lastRenderedPageBreak/>
        <w:t>updated policies will generally be applied for shareholder meetings taking place on or after 1 February 202</w:t>
      </w:r>
      <w:r w:rsidR="00697403">
        <w:t>5</w:t>
      </w:r>
      <w:r w:rsidR="0056426D">
        <w:t>.</w:t>
      </w:r>
    </w:p>
    <w:p w14:paraId="33D42515" w14:textId="2CD88978" w:rsidR="004C20A3" w:rsidRPr="007B6F42" w:rsidRDefault="004C20A3" w:rsidP="004C20A3">
      <w:pPr>
        <w:pStyle w:val="General1L3"/>
      </w:pPr>
      <w:r w:rsidRPr="0012036E">
        <w:rPr>
          <w:i/>
          <w:iCs/>
        </w:rPr>
        <w:t>DBT launches Fair Payment Code</w:t>
      </w:r>
      <w:r>
        <w:t>.</w:t>
      </w:r>
      <w:r w:rsidR="001E0276">
        <w:t xml:space="preserve"> </w:t>
      </w:r>
      <w:r>
        <w:t xml:space="preserve"> On 3 December 2024, DBT </w:t>
      </w:r>
      <w:r w:rsidRPr="00871CB6">
        <w:t>announced</w:t>
      </w:r>
      <w:r>
        <w:t xml:space="preserve"> the launch of the </w:t>
      </w:r>
      <w:r w:rsidRPr="00871CB6">
        <w:t>Fair Payment Code</w:t>
      </w:r>
      <w:r w:rsidR="00014A73">
        <w:t xml:space="preserve"> </w:t>
      </w:r>
      <w:r w:rsidR="00014A73" w:rsidRPr="00014A73">
        <w:t>to tackle late payments to SMEs</w:t>
      </w:r>
      <w:r w:rsidR="00D227BD">
        <w:t>.</w:t>
      </w:r>
    </w:p>
    <w:p w14:paraId="0B4EB49A" w14:textId="0A1E8FB9" w:rsidR="000942B2" w:rsidRPr="000942B2" w:rsidRDefault="005A1121" w:rsidP="009D3058">
      <w:pPr>
        <w:pStyle w:val="General1L3"/>
      </w:pPr>
      <w:r w:rsidRPr="00831FEE">
        <w:rPr>
          <w:i/>
          <w:iCs/>
        </w:rPr>
        <w:t xml:space="preserve">FRC </w:t>
      </w:r>
      <w:r w:rsidR="00AA5E88">
        <w:rPr>
          <w:i/>
          <w:iCs/>
        </w:rPr>
        <w:t xml:space="preserve">Annual </w:t>
      </w:r>
      <w:r w:rsidRPr="00831FEE">
        <w:rPr>
          <w:i/>
          <w:iCs/>
        </w:rPr>
        <w:t>Review of Corporate Governance Reporting</w:t>
      </w:r>
      <w:r>
        <w:t xml:space="preserve">. </w:t>
      </w:r>
      <w:r w:rsidR="001E0276">
        <w:t xml:space="preserve"> </w:t>
      </w:r>
      <w:r>
        <w:t xml:space="preserve">On 26 November 2024, the FRC </w:t>
      </w:r>
      <w:r w:rsidRPr="00871CB6">
        <w:t>announced</w:t>
      </w:r>
      <w:r>
        <w:t xml:space="preserve"> </w:t>
      </w:r>
      <w:r w:rsidR="00AA5E88">
        <w:t>the publication of</w:t>
      </w:r>
      <w:r>
        <w:t xml:space="preserve"> its </w:t>
      </w:r>
      <w:r w:rsidR="00AA5E88" w:rsidRPr="00871CB6">
        <w:t>Annual R</w:t>
      </w:r>
      <w:r w:rsidR="00831FEE" w:rsidRPr="00871CB6">
        <w:t>eview of Corporate Governance Reporting 2024</w:t>
      </w:r>
      <w:r>
        <w:t>.</w:t>
      </w:r>
    </w:p>
    <w:p w14:paraId="5AC23975" w14:textId="2E8C3665" w:rsidR="001E2DD0" w:rsidRDefault="001E2DD0" w:rsidP="001E2DD0">
      <w:pPr>
        <w:pStyle w:val="General1L2"/>
        <w:keepNext/>
        <w:rPr>
          <w:b/>
        </w:rPr>
      </w:pPr>
      <w:r w:rsidRPr="00F74051">
        <w:rPr>
          <w:b/>
        </w:rPr>
        <w:t xml:space="preserve">Reporting and </w:t>
      </w:r>
      <w:r w:rsidR="00752895">
        <w:rPr>
          <w:b/>
        </w:rPr>
        <w:t>d</w:t>
      </w:r>
      <w:r w:rsidRPr="00F74051">
        <w:rPr>
          <w:b/>
        </w:rPr>
        <w:t>isclosure</w:t>
      </w:r>
    </w:p>
    <w:p w14:paraId="43603A21" w14:textId="6A6D1225" w:rsidR="00D120AB" w:rsidRPr="00D120AB" w:rsidRDefault="00D120AB" w:rsidP="00103FCF">
      <w:pPr>
        <w:pStyle w:val="General1L3"/>
      </w:pPr>
      <w:r>
        <w:rPr>
          <w:i/>
          <w:iCs/>
        </w:rPr>
        <w:t xml:space="preserve">FRC </w:t>
      </w:r>
      <w:r w:rsidRPr="00D120AB">
        <w:rPr>
          <w:i/>
          <w:iCs/>
        </w:rPr>
        <w:t xml:space="preserve">thematic review of </w:t>
      </w:r>
      <w:r>
        <w:rPr>
          <w:i/>
          <w:iCs/>
        </w:rPr>
        <w:t>c</w:t>
      </w:r>
      <w:r w:rsidRPr="00D120AB">
        <w:rPr>
          <w:i/>
          <w:iCs/>
        </w:rPr>
        <w:t xml:space="preserve">limate-related </w:t>
      </w:r>
      <w:r>
        <w:rPr>
          <w:i/>
          <w:iCs/>
        </w:rPr>
        <w:t>f</w:t>
      </w:r>
      <w:r w:rsidRPr="00D120AB">
        <w:rPr>
          <w:i/>
          <w:iCs/>
        </w:rPr>
        <w:t xml:space="preserve">inancial </w:t>
      </w:r>
      <w:r>
        <w:rPr>
          <w:i/>
          <w:iCs/>
        </w:rPr>
        <w:t>d</w:t>
      </w:r>
      <w:r w:rsidRPr="00D120AB">
        <w:rPr>
          <w:i/>
          <w:iCs/>
        </w:rPr>
        <w:t>isclosures by AIM and large private companies</w:t>
      </w:r>
      <w:r>
        <w:t xml:space="preserve">. </w:t>
      </w:r>
      <w:r w:rsidR="001E0276">
        <w:t xml:space="preserve"> </w:t>
      </w:r>
      <w:r>
        <w:t xml:space="preserve">On 21 January 2025, the FRC </w:t>
      </w:r>
      <w:r w:rsidRPr="00871CB6">
        <w:t>announce</w:t>
      </w:r>
      <w:r w:rsidR="00E02D8E" w:rsidRPr="00871CB6">
        <w:t>d</w:t>
      </w:r>
      <w:r>
        <w:t xml:space="preserve"> the publication of a </w:t>
      </w:r>
      <w:r w:rsidRPr="00871CB6">
        <w:t>thematic review of climate-related financial disclosures by AIM and large private companies</w:t>
      </w:r>
      <w:r>
        <w:t>.</w:t>
      </w:r>
    </w:p>
    <w:p w14:paraId="52A46537" w14:textId="20ED3605" w:rsidR="00C111AC" w:rsidRDefault="00593F2D" w:rsidP="00103FCF">
      <w:pPr>
        <w:pStyle w:val="General1L3"/>
      </w:pPr>
      <w:r w:rsidRPr="00593F2D">
        <w:rPr>
          <w:i/>
          <w:iCs/>
        </w:rPr>
        <w:t>UK Sustainability Reporting Standards</w:t>
      </w:r>
      <w:r w:rsidR="00C45BFB">
        <w:t xml:space="preserve">. </w:t>
      </w:r>
      <w:r w:rsidR="001E0276">
        <w:t xml:space="preserve"> </w:t>
      </w:r>
      <w:r w:rsidR="00CF7F55">
        <w:t>On 18 December 2024, the FRC</w:t>
      </w:r>
      <w:r w:rsidR="00755450">
        <w:t xml:space="preserve"> (</w:t>
      </w:r>
      <w:r w:rsidR="00755450" w:rsidRPr="00CF7F55">
        <w:t>in its role as the Secretariat to the UK Sustainability Disclosure Technical Advisory Committe</w:t>
      </w:r>
      <w:r w:rsidR="00755450">
        <w:t>e (</w:t>
      </w:r>
      <w:r w:rsidR="00755450" w:rsidRPr="00755450">
        <w:rPr>
          <w:b/>
          <w:bCs/>
        </w:rPr>
        <w:t>TAC</w:t>
      </w:r>
      <w:r w:rsidR="00755450">
        <w:t>)</w:t>
      </w:r>
      <w:r w:rsidR="00755450" w:rsidRPr="00CF7F55">
        <w:t>)</w:t>
      </w:r>
      <w:r w:rsidR="00CF7F55">
        <w:t xml:space="preserve"> </w:t>
      </w:r>
      <w:r w:rsidR="00CF7F55" w:rsidRPr="00871CB6">
        <w:t>announced</w:t>
      </w:r>
      <w:r w:rsidR="00CF7F55">
        <w:t xml:space="preserve"> </w:t>
      </w:r>
      <w:r w:rsidR="00755450">
        <w:t>the</w:t>
      </w:r>
      <w:r w:rsidR="00CF7F55" w:rsidRPr="00CF7F55">
        <w:t xml:space="preserve"> publi</w:t>
      </w:r>
      <w:r w:rsidR="00755450">
        <w:t>cation of</w:t>
      </w:r>
      <w:r w:rsidR="00CF7F55" w:rsidRPr="00CF7F55">
        <w:t xml:space="preserve"> </w:t>
      </w:r>
      <w:r w:rsidR="00755450">
        <w:t>the TAC</w:t>
      </w:r>
      <w:r w:rsidR="00CF7F55" w:rsidRPr="00CF7F55">
        <w:t>’s final recommendations to the Secretary of State for Business and Trade</w:t>
      </w:r>
      <w:r w:rsidR="00072A51">
        <w:t>.  The TAC</w:t>
      </w:r>
      <w:r w:rsidR="00CF7F55" w:rsidRPr="00CF7F55">
        <w:t xml:space="preserve"> recommend</w:t>
      </w:r>
      <w:r w:rsidR="00072A51">
        <w:t>s the</w:t>
      </w:r>
      <w:r w:rsidR="00CF7F55" w:rsidRPr="00CF7F55">
        <w:t xml:space="preserve"> </w:t>
      </w:r>
      <w:r w:rsidR="00CF7F55" w:rsidRPr="00871CB6">
        <w:t>endorsement of the first two IFRS Sustainability Disclosure Standards for use in the UK</w:t>
      </w:r>
      <w:r w:rsidR="00AE5304">
        <w:t xml:space="preserve"> </w:t>
      </w:r>
      <w:r w:rsidR="00072A51">
        <w:t>to</w:t>
      </w:r>
      <w:r w:rsidR="00072A51" w:rsidRPr="00072A51">
        <w:t xml:space="preserve"> creat</w:t>
      </w:r>
      <w:r w:rsidR="00072A51">
        <w:t>e</w:t>
      </w:r>
      <w:r w:rsidR="00072A51" w:rsidRPr="00072A51">
        <w:t xml:space="preserve"> UK Sustainability Reporting Standards</w:t>
      </w:r>
      <w:r w:rsidR="00C61300">
        <w:t>.</w:t>
      </w:r>
    </w:p>
    <w:p w14:paraId="5056C6B4" w14:textId="473E2C31" w:rsidR="00B2601B" w:rsidRDefault="009A6EBB" w:rsidP="00EC4107">
      <w:pPr>
        <w:pStyle w:val="General1L3"/>
      </w:pPr>
      <w:r w:rsidRPr="009A6EBB">
        <w:rPr>
          <w:i/>
          <w:iCs/>
        </w:rPr>
        <w:t>Private Equity Annual Public Reports</w:t>
      </w:r>
      <w:r>
        <w:t xml:space="preserve">. </w:t>
      </w:r>
      <w:r w:rsidR="001E0276">
        <w:t xml:space="preserve"> </w:t>
      </w:r>
      <w:r w:rsidR="00B2601B">
        <w:t xml:space="preserve">On 18 December 2024, </w:t>
      </w:r>
      <w:r w:rsidR="00EC4107">
        <w:t xml:space="preserve">the Private Equity Reporting Group </w:t>
      </w:r>
      <w:r w:rsidR="006F24F5" w:rsidRPr="00871CB6">
        <w:t>announced</w:t>
      </w:r>
      <w:r w:rsidR="006F24F5">
        <w:t xml:space="preserve"> the publication of</w:t>
      </w:r>
      <w:r w:rsidR="00EC4107">
        <w:t xml:space="preserve"> its </w:t>
      </w:r>
      <w:r w:rsidR="00EC4107" w:rsidRPr="00871CB6">
        <w:t>Annual Report of the Private Equity Reporting Group</w:t>
      </w:r>
      <w:r w:rsidR="00EC4107">
        <w:t xml:space="preserve">, </w:t>
      </w:r>
      <w:r w:rsidR="00EC4107" w:rsidRPr="00871CB6">
        <w:t>Good Practice Reporting Guide for portfolio companies</w:t>
      </w:r>
      <w:r w:rsidR="00EC4107">
        <w:t xml:space="preserve"> and </w:t>
      </w:r>
      <w:r w:rsidR="001F3449" w:rsidRPr="00871CB6">
        <w:t>Annual Report on the performance of portfolio companies</w:t>
      </w:r>
      <w:r w:rsidR="001F3449">
        <w:t>.</w:t>
      </w:r>
    </w:p>
    <w:p w14:paraId="4A6245F0" w14:textId="37322D7E" w:rsidR="0053627C" w:rsidRPr="0053627C" w:rsidRDefault="0053627C" w:rsidP="00103FCF">
      <w:pPr>
        <w:pStyle w:val="General1L3"/>
      </w:pPr>
      <w:r w:rsidRPr="0053627C">
        <w:rPr>
          <w:i/>
          <w:iCs/>
        </w:rPr>
        <w:t>Updated Walker Guidelines</w:t>
      </w:r>
      <w:r w:rsidRPr="0053627C">
        <w:t xml:space="preserve">. </w:t>
      </w:r>
      <w:r w:rsidR="001E0276">
        <w:t xml:space="preserve"> </w:t>
      </w:r>
      <w:r w:rsidRPr="0053627C">
        <w:t xml:space="preserve">On </w:t>
      </w:r>
      <w:r>
        <w:t>18 December 2024</w:t>
      </w:r>
      <w:r w:rsidRPr="0053627C">
        <w:t>, the Private Equity Reporting Group</w:t>
      </w:r>
      <w:r>
        <w:t xml:space="preserve"> </w:t>
      </w:r>
      <w:r w:rsidRPr="00871CB6">
        <w:t>announced</w:t>
      </w:r>
      <w:r w:rsidRPr="0053627C">
        <w:t xml:space="preserve"> the </w:t>
      </w:r>
      <w:r>
        <w:t>publication of</w:t>
      </w:r>
      <w:r w:rsidR="00953713">
        <w:t xml:space="preserve"> </w:t>
      </w:r>
      <w:r w:rsidR="00953713" w:rsidRPr="00953713">
        <w:t xml:space="preserve">an amended version of </w:t>
      </w:r>
      <w:r w:rsidR="00953713" w:rsidRPr="00871CB6">
        <w:t>Part V of the Walker Guidelines</w:t>
      </w:r>
      <w:r w:rsidR="00AC5D8D">
        <w:t xml:space="preserve">, along with a </w:t>
      </w:r>
      <w:r w:rsidR="00AC5D8D" w:rsidRPr="00871CB6">
        <w:t>feedback statement</w:t>
      </w:r>
      <w:r w:rsidR="00AC5D8D">
        <w:t xml:space="preserve"> to PERG and the BVCA's consultation</w:t>
      </w:r>
      <w:r w:rsidR="00BE2269">
        <w:t xml:space="preserve"> that was launched in July 2024</w:t>
      </w:r>
      <w:r w:rsidR="00BB623B">
        <w:t>.</w:t>
      </w:r>
    </w:p>
    <w:p w14:paraId="079CD1CA" w14:textId="1B07FE83" w:rsidR="00936D50" w:rsidRPr="00936D50" w:rsidRDefault="002F6E37" w:rsidP="00103FCF">
      <w:pPr>
        <w:pStyle w:val="General1L3"/>
      </w:pPr>
      <w:r w:rsidRPr="00E84A38">
        <w:rPr>
          <w:i/>
          <w:iCs/>
        </w:rPr>
        <w:t>EFRAG Voluntary Sustainability Reporting Standard for non-listed SMEs</w:t>
      </w:r>
      <w:r>
        <w:t xml:space="preserve">. </w:t>
      </w:r>
      <w:r w:rsidR="001E0276">
        <w:t xml:space="preserve"> </w:t>
      </w:r>
      <w:r w:rsidR="00AE4CD0">
        <w:t xml:space="preserve">On 17 December 2024, EFRAG </w:t>
      </w:r>
      <w:r w:rsidR="00AE4CD0" w:rsidRPr="00871CB6">
        <w:t>announced</w:t>
      </w:r>
      <w:r w:rsidR="00AE4CD0">
        <w:t xml:space="preserve"> </w:t>
      </w:r>
      <w:r w:rsidR="0081104A">
        <w:t>t</w:t>
      </w:r>
      <w:r w:rsidR="00E34E16">
        <w:t xml:space="preserve">hat it has delivered its technical advice on </w:t>
      </w:r>
      <w:r w:rsidR="005841C4">
        <w:t>its</w:t>
      </w:r>
      <w:r w:rsidRPr="002F6E37">
        <w:t xml:space="preserve"> </w:t>
      </w:r>
      <w:r w:rsidRPr="00871CB6">
        <w:t>Voluntary Sustainability Reporting Standard for non-listed SMEs</w:t>
      </w:r>
      <w:r w:rsidR="00887D7C">
        <w:t>.</w:t>
      </w:r>
      <w:r w:rsidR="005841C4">
        <w:t xml:space="preserve">  </w:t>
      </w:r>
      <w:r w:rsidR="005841C4" w:rsidRPr="005841C4">
        <w:t>Th</w:t>
      </w:r>
      <w:r w:rsidR="00907463">
        <w:t>is</w:t>
      </w:r>
      <w:r w:rsidR="005841C4" w:rsidRPr="005841C4">
        <w:t xml:space="preserve"> is a voluntary standard for entities outside the scope of the CSRD</w:t>
      </w:r>
      <w:r w:rsidR="0003526B">
        <w:t>.</w:t>
      </w:r>
    </w:p>
    <w:p w14:paraId="081EF097" w14:textId="01FA92F9" w:rsidR="001E2DD0" w:rsidRDefault="001E2DD0" w:rsidP="001E2DD0">
      <w:pPr>
        <w:pStyle w:val="General1L2"/>
        <w:keepNext/>
        <w:rPr>
          <w:b/>
        </w:rPr>
      </w:pPr>
      <w:r w:rsidRPr="00F74051">
        <w:rPr>
          <w:b/>
        </w:rPr>
        <w:t xml:space="preserve">Equity </w:t>
      </w:r>
      <w:r w:rsidR="00752895">
        <w:rPr>
          <w:b/>
        </w:rPr>
        <w:t>c</w:t>
      </w:r>
      <w:r w:rsidRPr="00F74051">
        <w:rPr>
          <w:b/>
        </w:rPr>
        <w:t xml:space="preserve">apital </w:t>
      </w:r>
      <w:r w:rsidR="00752895">
        <w:rPr>
          <w:b/>
        </w:rPr>
        <w:t>m</w:t>
      </w:r>
      <w:r w:rsidRPr="00F74051">
        <w:rPr>
          <w:b/>
        </w:rPr>
        <w:t>arkets</w:t>
      </w:r>
    </w:p>
    <w:p w14:paraId="2FF54135" w14:textId="39E6DEDA" w:rsidR="004E0538" w:rsidRDefault="00E265BD" w:rsidP="00446E80">
      <w:pPr>
        <w:pStyle w:val="General1L3"/>
      </w:pPr>
      <w:r w:rsidRPr="00DB7444">
        <w:rPr>
          <w:i/>
          <w:iCs/>
        </w:rPr>
        <w:t>FCA policy statement on e</w:t>
      </w:r>
      <w:r w:rsidR="0028412F" w:rsidRPr="00DB7444">
        <w:rPr>
          <w:i/>
          <w:iCs/>
        </w:rPr>
        <w:t>nhancing the National Storage Mechanism</w:t>
      </w:r>
      <w:r w:rsidR="0028412F">
        <w:t xml:space="preserve">. </w:t>
      </w:r>
      <w:r w:rsidR="001E0276">
        <w:t xml:space="preserve"> </w:t>
      </w:r>
      <w:r w:rsidR="004E0538">
        <w:t>On 20</w:t>
      </w:r>
      <w:r w:rsidR="001E0276">
        <w:t> </w:t>
      </w:r>
      <w:r w:rsidR="004E0538">
        <w:t xml:space="preserve">December 2024, the FCA </w:t>
      </w:r>
      <w:r w:rsidR="003B573A" w:rsidRPr="00871CB6">
        <w:t>announced</w:t>
      </w:r>
      <w:r w:rsidR="003B573A">
        <w:t xml:space="preserve"> the </w:t>
      </w:r>
      <w:r w:rsidR="004E0538">
        <w:t>publi</w:t>
      </w:r>
      <w:r w:rsidR="003B573A">
        <w:t>cation of its</w:t>
      </w:r>
      <w:r>
        <w:t xml:space="preserve"> </w:t>
      </w:r>
      <w:r w:rsidRPr="00871CB6">
        <w:t>policy statement on</w:t>
      </w:r>
      <w:r w:rsidR="004E0538" w:rsidRPr="00871CB6">
        <w:t xml:space="preserve"> </w:t>
      </w:r>
      <w:r w:rsidRPr="00871CB6">
        <w:t>e</w:t>
      </w:r>
      <w:r w:rsidR="004E0538" w:rsidRPr="00871CB6">
        <w:t xml:space="preserve">nhancing the National Storage Mechanism </w:t>
      </w:r>
      <w:r w:rsidRPr="00871CB6">
        <w:t>(PS24/19)</w:t>
      </w:r>
      <w:r>
        <w:t xml:space="preserve"> </w:t>
      </w:r>
      <w:r w:rsidR="00D97BF1">
        <w:t>following its consultation that was launched in August 2024.  In PS24/1</w:t>
      </w:r>
      <w:r w:rsidR="00AC61D4">
        <w:t>9</w:t>
      </w:r>
      <w:r w:rsidR="00D97BF1">
        <w:t>, the FCA</w:t>
      </w:r>
      <w:r w:rsidR="00D97BF1" w:rsidRPr="00D97BF1">
        <w:t xml:space="preserve"> summarise</w:t>
      </w:r>
      <w:r w:rsidR="00D97BF1">
        <w:t>s</w:t>
      </w:r>
      <w:r w:rsidR="00D97BF1" w:rsidRPr="00D97BF1">
        <w:t xml:space="preserve"> the feedback received in response to </w:t>
      </w:r>
      <w:r w:rsidR="00D97BF1">
        <w:t>its consultation</w:t>
      </w:r>
      <w:r w:rsidR="00D97BF1" w:rsidRPr="00D97BF1">
        <w:t xml:space="preserve">, </w:t>
      </w:r>
      <w:r w:rsidR="00D97BF1">
        <w:t>its</w:t>
      </w:r>
      <w:r w:rsidR="00D97BF1" w:rsidRPr="00D97BF1">
        <w:t xml:space="preserve"> longer-term plans for the N</w:t>
      </w:r>
      <w:r w:rsidR="00D97BF1">
        <w:t>SM</w:t>
      </w:r>
      <w:r w:rsidR="00D97BF1" w:rsidRPr="00D97BF1">
        <w:t xml:space="preserve"> and </w:t>
      </w:r>
      <w:r w:rsidR="00D97BF1">
        <w:t>its</w:t>
      </w:r>
      <w:r w:rsidR="00D97BF1" w:rsidRPr="00D97BF1">
        <w:t xml:space="preserve"> final rules and guidance, which will enable</w:t>
      </w:r>
      <w:r w:rsidR="00D97BF1">
        <w:t xml:space="preserve"> the FCA</w:t>
      </w:r>
      <w:r w:rsidR="00D97BF1" w:rsidRPr="00D97BF1">
        <w:t xml:space="preserve"> to make it easier for NSM users to find regulated information</w:t>
      </w:r>
      <w:r w:rsidR="004E0538">
        <w:t>.</w:t>
      </w:r>
      <w:r w:rsidR="00610DA1">
        <w:t xml:space="preserve">  </w:t>
      </w:r>
      <w:r w:rsidR="00E669B9">
        <w:t>T</w:t>
      </w:r>
      <w:r w:rsidR="00610DA1">
        <w:t xml:space="preserve">he </w:t>
      </w:r>
      <w:r w:rsidR="00405BC2" w:rsidRPr="00871CB6">
        <w:t>FCA a</w:t>
      </w:r>
      <w:r w:rsidR="00610DA1" w:rsidRPr="00871CB6">
        <w:t>mending instrument</w:t>
      </w:r>
      <w:r w:rsidR="00405BC2">
        <w:t xml:space="preserve"> that</w:t>
      </w:r>
      <w:r w:rsidR="00610DA1">
        <w:t xml:space="preserve"> makes changes to the DTRs</w:t>
      </w:r>
      <w:r w:rsidR="00405BC2">
        <w:t xml:space="preserve"> is set out in Appendix 1 of PS24/1</w:t>
      </w:r>
      <w:r w:rsidR="00AC61D4">
        <w:t>9</w:t>
      </w:r>
      <w:r w:rsidR="002318E5">
        <w:t>.</w:t>
      </w:r>
      <w:r w:rsidR="00DB7444">
        <w:t xml:space="preserve">  </w:t>
      </w:r>
      <w:r w:rsidR="00E669B9">
        <w:t>A</w:t>
      </w:r>
      <w:r w:rsidR="00DB7444">
        <w:t xml:space="preserve"> new FCA Technical Note</w:t>
      </w:r>
      <w:r w:rsidR="00E669B9">
        <w:t>, which</w:t>
      </w:r>
      <w:r w:rsidR="00304C23">
        <w:t xml:space="preserve"> contains guidance to </w:t>
      </w:r>
      <w:r w:rsidR="00DB7444">
        <w:t>Primary Information Providers</w:t>
      </w:r>
      <w:r w:rsidR="00304C23" w:rsidRPr="00304C23">
        <w:t xml:space="preserve"> in meeting their obligations to provide regulatory </w:t>
      </w:r>
      <w:r w:rsidR="00304C23" w:rsidRPr="00304C23">
        <w:lastRenderedPageBreak/>
        <w:t>information</w:t>
      </w:r>
      <w:r w:rsidR="00E669B9">
        <w:t>, is set out in Appendix 2 of PS24/1</w:t>
      </w:r>
      <w:r w:rsidR="00C375D0">
        <w:t>9</w:t>
      </w:r>
      <w:r w:rsidR="00304C23">
        <w:t>.</w:t>
      </w:r>
      <w:r w:rsidR="007A0F1B">
        <w:t xml:space="preserve">  The</w:t>
      </w:r>
      <w:r w:rsidR="00BE28B6">
        <w:t xml:space="preserve"> changes made by the</w:t>
      </w:r>
      <w:r w:rsidR="007A0F1B">
        <w:t xml:space="preserve"> FCA amending instrument and the new FCA Technical Note </w:t>
      </w:r>
      <w:r w:rsidR="00BE28B6">
        <w:t xml:space="preserve">will </w:t>
      </w:r>
      <w:r w:rsidR="007A0F1B">
        <w:t xml:space="preserve">come into </w:t>
      </w:r>
      <w:r w:rsidR="00BE28B6">
        <w:t>effect</w:t>
      </w:r>
      <w:r w:rsidR="007A0F1B">
        <w:t xml:space="preserve"> on 3 November 2025</w:t>
      </w:r>
      <w:r w:rsidR="00B10A7C">
        <w:t>.</w:t>
      </w:r>
    </w:p>
    <w:p w14:paraId="29548C50" w14:textId="4B8157E6" w:rsidR="00617765" w:rsidRPr="00617765" w:rsidRDefault="002C1DB3" w:rsidP="00834087">
      <w:pPr>
        <w:pStyle w:val="General1L3"/>
      </w:pPr>
      <w:r w:rsidRPr="00617765">
        <w:rPr>
          <w:i/>
          <w:iCs/>
        </w:rPr>
        <w:t>FCA PMB No.</w:t>
      </w:r>
      <w:r w:rsidR="00A27A4D">
        <w:rPr>
          <w:i/>
          <w:iCs/>
        </w:rPr>
        <w:t> </w:t>
      </w:r>
      <w:r w:rsidRPr="00617765">
        <w:rPr>
          <w:i/>
          <w:iCs/>
        </w:rPr>
        <w:t>53</w:t>
      </w:r>
      <w:r>
        <w:t>.</w:t>
      </w:r>
      <w:r w:rsidR="001E0276">
        <w:t xml:space="preserve"> </w:t>
      </w:r>
      <w:r>
        <w:t xml:space="preserve"> On 13 December 2024, the FCA published </w:t>
      </w:r>
      <w:r w:rsidRPr="00871CB6">
        <w:t>Primary Market Bulletin No.</w:t>
      </w:r>
      <w:r w:rsidR="00A27A4D">
        <w:t> </w:t>
      </w:r>
      <w:r w:rsidRPr="00871CB6">
        <w:t>53</w:t>
      </w:r>
      <w:r w:rsidR="005D0F05">
        <w:t>.</w:t>
      </w:r>
      <w:r w:rsidR="00617765">
        <w:t xml:space="preserve">  In this edition</w:t>
      </w:r>
      <w:r w:rsidR="00C832EC">
        <w:t>,</w:t>
      </w:r>
      <w:r w:rsidR="00617765">
        <w:t xml:space="preserve"> the FCA: (i) c</w:t>
      </w:r>
      <w:r w:rsidR="00617765" w:rsidRPr="00617765">
        <w:t>onsult</w:t>
      </w:r>
      <w:r w:rsidR="00617765">
        <w:t>s</w:t>
      </w:r>
      <w:r w:rsidR="00617765" w:rsidRPr="00617765">
        <w:t xml:space="preserve"> on proposed changes to guidance in </w:t>
      </w:r>
      <w:r w:rsidR="00617765">
        <w:t>its</w:t>
      </w:r>
      <w:r w:rsidR="00617765" w:rsidRPr="00617765">
        <w:t xml:space="preserve"> Knowledge Base</w:t>
      </w:r>
      <w:r w:rsidR="0053306E">
        <w:t xml:space="preserve"> for the listing regime</w:t>
      </w:r>
      <w:r w:rsidR="00617765">
        <w:t xml:space="preserve"> following </w:t>
      </w:r>
      <w:r w:rsidR="00617765" w:rsidRPr="00617765">
        <w:t>the implementation of the UK</w:t>
      </w:r>
      <w:r w:rsidR="00617765">
        <w:t>LRs</w:t>
      </w:r>
      <w:r w:rsidR="00240000">
        <w:t xml:space="preserve"> (see </w:t>
      </w:r>
      <w:r w:rsidR="00240000" w:rsidRPr="00871CB6">
        <w:t>GC24/6</w:t>
      </w:r>
      <w:r w:rsidR="00240000">
        <w:t>)</w:t>
      </w:r>
      <w:r w:rsidR="00617765">
        <w:t>; (ii) p</w:t>
      </w:r>
      <w:r w:rsidR="00617765" w:rsidRPr="00617765">
        <w:t>rovide</w:t>
      </w:r>
      <w:r w:rsidR="00617765">
        <w:t>s</w:t>
      </w:r>
      <w:r w:rsidR="00617765" w:rsidRPr="00617765">
        <w:t xml:space="preserve"> feedback on </w:t>
      </w:r>
      <w:r w:rsidR="00617765">
        <w:t>its</w:t>
      </w:r>
      <w:r w:rsidR="00617765" w:rsidRPr="00617765">
        <w:t xml:space="preserve"> consultation in</w:t>
      </w:r>
      <w:r w:rsidR="00617765">
        <w:t xml:space="preserve"> PMB No.</w:t>
      </w:r>
      <w:r w:rsidR="00A27A4D">
        <w:t> </w:t>
      </w:r>
      <w:r w:rsidR="00617765">
        <w:t>50</w:t>
      </w:r>
      <w:r w:rsidR="00A27A4D">
        <w:t xml:space="preserve"> </w:t>
      </w:r>
      <w:r w:rsidR="00617765" w:rsidRPr="00617765">
        <w:t xml:space="preserve">and subsequent changes to </w:t>
      </w:r>
      <w:r w:rsidR="00BD12D9">
        <w:t xml:space="preserve">guidance for sponsors in </w:t>
      </w:r>
      <w:r w:rsidR="00617765">
        <w:t>its Knowledge Base</w:t>
      </w:r>
      <w:r w:rsidR="00BD12D9">
        <w:t xml:space="preserve"> (see </w:t>
      </w:r>
      <w:r w:rsidR="00BD12D9" w:rsidRPr="00871CB6">
        <w:t>FG24/7</w:t>
      </w:r>
      <w:r w:rsidR="00BD12D9">
        <w:t>)</w:t>
      </w:r>
      <w:r w:rsidR="00617765">
        <w:t>; and (iii) h</w:t>
      </w:r>
      <w:r w:rsidR="00617765" w:rsidRPr="00617765">
        <w:t>ighlight</w:t>
      </w:r>
      <w:r w:rsidR="00617765">
        <w:t>s its</w:t>
      </w:r>
      <w:r w:rsidR="00617765" w:rsidRPr="00617765">
        <w:t xml:space="preserve"> consultation to update </w:t>
      </w:r>
      <w:r w:rsidR="00617765">
        <w:t xml:space="preserve">FCA </w:t>
      </w:r>
      <w:r w:rsidR="00617765" w:rsidRPr="00617765">
        <w:t>Handbook references to the UK Corporate Governance Code 2024</w:t>
      </w:r>
      <w:r w:rsidR="00617765">
        <w:t xml:space="preserve"> (see item 5.4(</w:t>
      </w:r>
      <w:r w:rsidR="00C375D0">
        <w:t>c</w:t>
      </w:r>
      <w:r w:rsidR="00617765">
        <w:t>))</w:t>
      </w:r>
      <w:r w:rsidR="009C17CB">
        <w:t>.</w:t>
      </w:r>
    </w:p>
    <w:p w14:paraId="01A1B484" w14:textId="1FF42EA5" w:rsidR="00BA0DD9" w:rsidRPr="00697AA5" w:rsidRDefault="00BA0DD9" w:rsidP="001451A3">
      <w:pPr>
        <w:pStyle w:val="General1L3"/>
      </w:pPr>
      <w:r w:rsidRPr="000314DD">
        <w:rPr>
          <w:i/>
          <w:iCs/>
        </w:rPr>
        <w:t>FCA Quarterly Consultation Paper No.</w:t>
      </w:r>
      <w:r w:rsidR="00A27A4D">
        <w:rPr>
          <w:i/>
          <w:iCs/>
        </w:rPr>
        <w:t> </w:t>
      </w:r>
      <w:r w:rsidRPr="000314DD">
        <w:rPr>
          <w:i/>
          <w:iCs/>
        </w:rPr>
        <w:t>46</w:t>
      </w:r>
      <w:r>
        <w:t xml:space="preserve">. </w:t>
      </w:r>
      <w:r w:rsidR="00A27A4D">
        <w:t xml:space="preserve"> </w:t>
      </w:r>
      <w:r>
        <w:t xml:space="preserve">On 6 December 2024, the FCA </w:t>
      </w:r>
      <w:r w:rsidRPr="00871CB6">
        <w:t>announced</w:t>
      </w:r>
      <w:r>
        <w:t xml:space="preserve"> </w:t>
      </w:r>
      <w:r w:rsidR="00C52F03">
        <w:t>the publication of</w:t>
      </w:r>
      <w:r>
        <w:t xml:space="preserve"> </w:t>
      </w:r>
      <w:r w:rsidR="00C52F03">
        <w:t xml:space="preserve">its </w:t>
      </w:r>
      <w:r w:rsidRPr="00871CB6">
        <w:t xml:space="preserve">Quarterly Consultation </w:t>
      </w:r>
      <w:r w:rsidR="00C52F03" w:rsidRPr="00871CB6">
        <w:t xml:space="preserve">Paper </w:t>
      </w:r>
      <w:r w:rsidRPr="00871CB6">
        <w:t>No.</w:t>
      </w:r>
      <w:r w:rsidR="00A27A4D">
        <w:t> </w:t>
      </w:r>
      <w:r w:rsidR="00C52F03" w:rsidRPr="00871CB6">
        <w:t>46 (CP24/26)</w:t>
      </w:r>
      <w:r w:rsidR="002E2B70">
        <w:t>.</w:t>
      </w:r>
      <w:r w:rsidR="001451A3">
        <w:t xml:space="preserve">  Amongst other things, the FCA </w:t>
      </w:r>
      <w:r w:rsidR="00330084">
        <w:t xml:space="preserve">is </w:t>
      </w:r>
      <w:r w:rsidR="001451A3">
        <w:t>propos</w:t>
      </w:r>
      <w:r w:rsidR="00330084">
        <w:t>ing</w:t>
      </w:r>
      <w:r w:rsidR="001451A3">
        <w:t xml:space="preserve"> to </w:t>
      </w:r>
      <w:r w:rsidR="001451A3" w:rsidRPr="001451A3">
        <w:t xml:space="preserve">update references to the new edition of the UK Corporate Governance Code in the </w:t>
      </w:r>
      <w:r w:rsidR="001451A3">
        <w:t xml:space="preserve">FCA </w:t>
      </w:r>
      <w:r w:rsidR="001451A3" w:rsidRPr="001451A3">
        <w:t>Handbook</w:t>
      </w:r>
      <w:r w:rsidR="00BF7BD1">
        <w:t xml:space="preserve">, including </w:t>
      </w:r>
      <w:r w:rsidR="00595640">
        <w:t>by amend</w:t>
      </w:r>
      <w:r w:rsidR="000109F9">
        <w:t>ing</w:t>
      </w:r>
      <w:r w:rsidR="00BF7BD1">
        <w:t xml:space="preserve"> the UKLRs and DTRs</w:t>
      </w:r>
      <w:r w:rsidR="0006020C">
        <w:t xml:space="preserve"> to reflect the new Code</w:t>
      </w:r>
      <w:r w:rsidR="001451A3">
        <w:t>.</w:t>
      </w:r>
    </w:p>
    <w:p w14:paraId="60CDEEB9" w14:textId="75AE2D74" w:rsidR="00932D54" w:rsidRPr="00932D54" w:rsidRDefault="00932D54" w:rsidP="009B7313">
      <w:pPr>
        <w:pStyle w:val="General1L3"/>
      </w:pPr>
      <w:r w:rsidRPr="00932D54">
        <w:rPr>
          <w:i/>
          <w:iCs/>
        </w:rPr>
        <w:t>FCA fines Barclays £40 million</w:t>
      </w:r>
      <w:r>
        <w:t xml:space="preserve">. </w:t>
      </w:r>
      <w:r w:rsidR="00A27A4D">
        <w:t xml:space="preserve"> </w:t>
      </w:r>
      <w:r>
        <w:t xml:space="preserve">On 25 November 2024, the FCA </w:t>
      </w:r>
      <w:r w:rsidRPr="00871CB6">
        <w:t>announced</w:t>
      </w:r>
      <w:r>
        <w:t xml:space="preserve"> </w:t>
      </w:r>
      <w:r w:rsidR="009B338D">
        <w:t>that i</w:t>
      </w:r>
      <w:r w:rsidR="00575C7D">
        <w:t>t</w:t>
      </w:r>
      <w:r w:rsidR="009B338D">
        <w:t xml:space="preserve"> has fined Barclays </w:t>
      </w:r>
      <w:r w:rsidR="009B338D" w:rsidRPr="009B338D">
        <w:t>£40 million</w:t>
      </w:r>
      <w:r w:rsidR="009B338D">
        <w:t xml:space="preserve"> </w:t>
      </w:r>
      <w:r w:rsidR="009B338D" w:rsidRPr="009B338D">
        <w:t>for its failure to disclose certain arrangements with Qatari entities in 2008</w:t>
      </w:r>
      <w:r w:rsidR="009B338D">
        <w:t xml:space="preserve">, which follows </w:t>
      </w:r>
      <w:r w:rsidR="009B338D" w:rsidRPr="009B338D">
        <w:t>Barclays' decision to withdraw its referral of the FCA's planned action to the Upper Tribunal</w:t>
      </w:r>
      <w:r w:rsidR="009B338D">
        <w:t>.  The FCA has p</w:t>
      </w:r>
      <w:r w:rsidR="00E94045">
        <w:t>ublished</w:t>
      </w:r>
      <w:r w:rsidR="00B834F9">
        <w:t xml:space="preserve"> its</w:t>
      </w:r>
      <w:r w:rsidR="00E94045">
        <w:t xml:space="preserve"> final notices</w:t>
      </w:r>
      <w:r>
        <w:t xml:space="preserve"> </w:t>
      </w:r>
      <w:r w:rsidR="009B338D">
        <w:t>to</w:t>
      </w:r>
      <w:r>
        <w:t xml:space="preserve"> </w:t>
      </w:r>
      <w:r w:rsidRPr="00871CB6">
        <w:t xml:space="preserve">Barclays </w:t>
      </w:r>
      <w:r w:rsidR="00E94045" w:rsidRPr="00871CB6">
        <w:t>plc</w:t>
      </w:r>
      <w:r w:rsidR="00E94045">
        <w:t xml:space="preserve"> and </w:t>
      </w:r>
      <w:r w:rsidR="00E94045" w:rsidRPr="00871CB6">
        <w:t>Barclays Bank plc</w:t>
      </w:r>
      <w:r w:rsidR="002D134B">
        <w:t>.</w:t>
      </w:r>
    </w:p>
    <w:p w14:paraId="0A453A70" w14:textId="3612C037" w:rsidR="00910DD4" w:rsidRPr="00910DD4" w:rsidRDefault="00B86184" w:rsidP="00321B9F">
      <w:pPr>
        <w:pStyle w:val="General1L3"/>
      </w:pPr>
      <w:r w:rsidRPr="00B86184">
        <w:rPr>
          <w:i/>
          <w:iCs/>
        </w:rPr>
        <w:t>Pre-Emption Group Annual Monitoring Report</w:t>
      </w:r>
      <w:r>
        <w:t>.</w:t>
      </w:r>
      <w:r w:rsidR="00A27A4D">
        <w:t xml:space="preserve"> </w:t>
      </w:r>
      <w:r>
        <w:t xml:space="preserve"> </w:t>
      </w:r>
      <w:r w:rsidR="00334C16">
        <w:t xml:space="preserve">On 22 November 2024, the </w:t>
      </w:r>
      <w:r w:rsidR="00321B9F">
        <w:t>Pre-Emption Group</w:t>
      </w:r>
      <w:r>
        <w:t xml:space="preserve"> </w:t>
      </w:r>
      <w:r w:rsidR="00334C16" w:rsidRPr="00871CB6">
        <w:t>announced</w:t>
      </w:r>
      <w:r w:rsidR="00334C16">
        <w:t xml:space="preserve"> </w:t>
      </w:r>
      <w:r w:rsidR="00321B9F">
        <w:t xml:space="preserve">the publication of </w:t>
      </w:r>
      <w:r w:rsidR="00334C16">
        <w:t xml:space="preserve">its </w:t>
      </w:r>
      <w:r w:rsidR="004651BF" w:rsidRPr="00871CB6">
        <w:t>Annual Monitoring Report</w:t>
      </w:r>
      <w:r w:rsidR="00553F25">
        <w:t>.</w:t>
      </w:r>
    </w:p>
    <w:p w14:paraId="06FF7797" w14:textId="4E18432F" w:rsidR="001E2DD0" w:rsidRDefault="001E2DD0" w:rsidP="001E2DD0">
      <w:pPr>
        <w:pStyle w:val="General1L2"/>
        <w:keepNext/>
        <w:rPr>
          <w:b/>
        </w:rPr>
      </w:pPr>
      <w:r w:rsidRPr="00A25746">
        <w:rPr>
          <w:b/>
        </w:rPr>
        <w:t>MAR</w:t>
      </w:r>
    </w:p>
    <w:p w14:paraId="2BB5275E" w14:textId="0864C83D" w:rsidR="003003A4" w:rsidRPr="002836C2" w:rsidRDefault="003003A4" w:rsidP="005C7263">
      <w:pPr>
        <w:pStyle w:val="General1L3"/>
      </w:pPr>
      <w:r w:rsidRPr="004E024E">
        <w:rPr>
          <w:i/>
          <w:iCs/>
        </w:rPr>
        <w:t>ESMA consultation on the draft technical advice concerning MAR and MiFID II SME GM</w:t>
      </w:r>
      <w:r w:rsidRPr="004E024E">
        <w:t>.</w:t>
      </w:r>
      <w:r w:rsidR="00A27A4D">
        <w:t xml:space="preserve"> </w:t>
      </w:r>
      <w:r w:rsidRPr="004E024E">
        <w:t xml:space="preserve"> On 12 December 2024, ESMA </w:t>
      </w:r>
      <w:r w:rsidR="002836C2" w:rsidRPr="00871CB6">
        <w:t>announced</w:t>
      </w:r>
      <w:r w:rsidR="002836C2">
        <w:t xml:space="preserve"> the </w:t>
      </w:r>
      <w:r w:rsidRPr="004E024E">
        <w:t>publi</w:t>
      </w:r>
      <w:r w:rsidR="002836C2">
        <w:t xml:space="preserve">cation of a </w:t>
      </w:r>
      <w:r w:rsidRPr="00871CB6">
        <w:t xml:space="preserve">consultation </w:t>
      </w:r>
      <w:r w:rsidR="0069295A" w:rsidRPr="00871CB6">
        <w:t xml:space="preserve">paper </w:t>
      </w:r>
      <w:r w:rsidRPr="00871CB6">
        <w:t>on draft technical advice concerning MAR and MiFID II SME GM</w:t>
      </w:r>
      <w:r w:rsidR="001B6529">
        <w:t>.  ESMA has launched this consultation</w:t>
      </w:r>
      <w:r w:rsidR="002836C2">
        <w:t xml:space="preserve"> to </w:t>
      </w:r>
      <w:r w:rsidR="002836C2" w:rsidRPr="002836C2">
        <w:t xml:space="preserve">gather feedback following changes to MAR and MiFID II introduced by the </w:t>
      </w:r>
      <w:r w:rsidR="002836C2">
        <w:t xml:space="preserve">EU </w:t>
      </w:r>
      <w:r w:rsidR="002836C2" w:rsidRPr="002836C2">
        <w:t>Listing Act.</w:t>
      </w:r>
      <w:r w:rsidR="002836C2">
        <w:t xml:space="preserve">  The consultation closes on 13 February 2025 and ESMA will </w:t>
      </w:r>
      <w:r w:rsidR="002836C2" w:rsidRPr="002836C2">
        <w:t>deliver its technical advice to the European Commission before the deadline set on 30 April 2025</w:t>
      </w:r>
      <w:r w:rsidR="00CA6D86">
        <w:t>.</w:t>
      </w:r>
    </w:p>
    <w:p w14:paraId="0B0A8845" w14:textId="64449BA0" w:rsidR="00B834F9" w:rsidRDefault="00A16AF7" w:rsidP="009D3058">
      <w:pPr>
        <w:pStyle w:val="General1L3"/>
      </w:pPr>
      <w:r w:rsidRPr="00A16AF7">
        <w:rPr>
          <w:i/>
          <w:iCs/>
        </w:rPr>
        <w:t xml:space="preserve">FCA fines </w:t>
      </w:r>
      <w:r w:rsidR="00496F79">
        <w:rPr>
          <w:i/>
          <w:iCs/>
        </w:rPr>
        <w:t>a PDMR</w:t>
      </w:r>
      <w:r w:rsidRPr="00A16AF7">
        <w:rPr>
          <w:i/>
          <w:iCs/>
        </w:rPr>
        <w:t xml:space="preserve"> for </w:t>
      </w:r>
      <w:r w:rsidR="00496F79">
        <w:rPr>
          <w:i/>
          <w:iCs/>
        </w:rPr>
        <w:t>MAR breaches</w:t>
      </w:r>
      <w:r>
        <w:t xml:space="preserve">. </w:t>
      </w:r>
      <w:r w:rsidR="00A27A4D">
        <w:t xml:space="preserve"> </w:t>
      </w:r>
      <w:r>
        <w:t xml:space="preserve">On 27 November 2024, the FCA </w:t>
      </w:r>
      <w:r w:rsidRPr="00871CB6">
        <w:t>announced</w:t>
      </w:r>
      <w:r>
        <w:t xml:space="preserve"> </w:t>
      </w:r>
      <w:r w:rsidR="00496F79">
        <w:t xml:space="preserve">that </w:t>
      </w:r>
      <w:r>
        <w:t>it ha</w:t>
      </w:r>
      <w:r w:rsidR="00496F79">
        <w:t>s</w:t>
      </w:r>
      <w:r>
        <w:t xml:space="preserve"> </w:t>
      </w:r>
      <w:r w:rsidR="00B834F9">
        <w:t>fined</w:t>
      </w:r>
      <w:r>
        <w:t xml:space="preserve"> </w:t>
      </w:r>
      <w:r w:rsidRPr="00A16AF7">
        <w:t>András Sebők, former chief supply chain officer at Wizz Air, £123,500</w:t>
      </w:r>
      <w:r w:rsidR="00B834F9">
        <w:t xml:space="preserve"> </w:t>
      </w:r>
      <w:r w:rsidR="00B834F9" w:rsidRPr="00B834F9">
        <w:t xml:space="preserve">for trading company shares during closed periods </w:t>
      </w:r>
      <w:r w:rsidR="00B834F9">
        <w:t>in breach of</w:t>
      </w:r>
      <w:r w:rsidR="00B834F9" w:rsidRPr="00B834F9">
        <w:t xml:space="preserve"> Article 19(11) MAR and for failing to disclose personal trades </w:t>
      </w:r>
      <w:r w:rsidR="00B834F9">
        <w:t xml:space="preserve">in breach of </w:t>
      </w:r>
      <w:r w:rsidR="00B834F9" w:rsidRPr="00B834F9">
        <w:t>Article 19(1) MAR.</w:t>
      </w:r>
      <w:r w:rsidR="00B834F9">
        <w:t xml:space="preserve">  The FCA has published its </w:t>
      </w:r>
      <w:r w:rsidR="00B834F9" w:rsidRPr="00871CB6">
        <w:t>final notice</w:t>
      </w:r>
      <w:r w:rsidR="00B834F9">
        <w:t xml:space="preserve"> to </w:t>
      </w:r>
      <w:r w:rsidR="00B834F9" w:rsidRPr="00A16AF7">
        <w:t>András Sebők</w:t>
      </w:r>
      <w:r w:rsidR="006F105E">
        <w:t>.</w:t>
      </w:r>
    </w:p>
    <w:p w14:paraId="43F76EAD" w14:textId="48238D5A" w:rsidR="001E2DD0" w:rsidRPr="00FC3A8C" w:rsidRDefault="00347723" w:rsidP="001E2DD0">
      <w:pPr>
        <w:pStyle w:val="General1L2"/>
        <w:keepNext/>
        <w:rPr>
          <w:b/>
          <w:iCs/>
        </w:rPr>
      </w:pPr>
      <w:r>
        <w:rPr>
          <w:b/>
        </w:rPr>
        <w:t>Auditing and accounting</w:t>
      </w:r>
    </w:p>
    <w:p w14:paraId="2A5AB61B" w14:textId="13F68D46" w:rsidR="003A1681" w:rsidRPr="009D3058" w:rsidRDefault="003F3A77" w:rsidP="009D3058">
      <w:pPr>
        <w:pStyle w:val="General1L3"/>
        <w:rPr>
          <w:iCs/>
        </w:rPr>
      </w:pPr>
      <w:r>
        <w:rPr>
          <w:iCs/>
        </w:rPr>
        <w:t>See item 5.1(d).</w:t>
      </w:r>
    </w:p>
    <w:p w14:paraId="545346A9" w14:textId="77777777" w:rsidR="001E2DD0" w:rsidRDefault="001E2DD0" w:rsidP="009079E9">
      <w:pPr>
        <w:pStyle w:val="General1L2"/>
        <w:keepNext/>
        <w:rPr>
          <w:b/>
        </w:rPr>
      </w:pPr>
      <w:r w:rsidRPr="00AE24E7">
        <w:rPr>
          <w:b/>
        </w:rPr>
        <w:lastRenderedPageBreak/>
        <w:t>Takeovers</w:t>
      </w:r>
    </w:p>
    <w:p w14:paraId="4B049EBB" w14:textId="138B42A4" w:rsidR="003A1681" w:rsidRPr="003A1681" w:rsidRDefault="00045D63" w:rsidP="009D3058">
      <w:pPr>
        <w:pStyle w:val="General1L3"/>
      </w:pPr>
      <w:r>
        <w:t>See item 5.9(e).</w:t>
      </w:r>
    </w:p>
    <w:p w14:paraId="140CEAA0" w14:textId="77777777" w:rsidR="001E2DD0" w:rsidRDefault="001E2DD0" w:rsidP="00970000">
      <w:pPr>
        <w:pStyle w:val="General1L2"/>
        <w:keepNext/>
        <w:rPr>
          <w:b/>
        </w:rPr>
      </w:pPr>
      <w:r w:rsidRPr="00F74051">
        <w:rPr>
          <w:b/>
        </w:rPr>
        <w:t>Miscellaneous</w:t>
      </w:r>
    </w:p>
    <w:p w14:paraId="756DE463" w14:textId="7616F98B" w:rsidR="004C20A3" w:rsidRPr="00235CA3" w:rsidRDefault="004C20A3" w:rsidP="004C20A3">
      <w:pPr>
        <w:pStyle w:val="General1L3"/>
      </w:pPr>
      <w:r w:rsidRPr="00216C07">
        <w:rPr>
          <w:i/>
          <w:iCs/>
        </w:rPr>
        <w:t xml:space="preserve">Report on the </w:t>
      </w:r>
      <w:r>
        <w:rPr>
          <w:i/>
          <w:iCs/>
        </w:rPr>
        <w:t xml:space="preserve">NSIA </w:t>
      </w:r>
      <w:r w:rsidR="00A6572F">
        <w:rPr>
          <w:i/>
          <w:iCs/>
        </w:rPr>
        <w:t xml:space="preserve">2021 </w:t>
      </w:r>
      <w:r>
        <w:rPr>
          <w:i/>
          <w:iCs/>
        </w:rPr>
        <w:t>Notifiable Acquisition Regulations</w:t>
      </w:r>
      <w:r>
        <w:t xml:space="preserve">. </w:t>
      </w:r>
      <w:r w:rsidR="00A27A4D">
        <w:t xml:space="preserve"> </w:t>
      </w:r>
      <w:r w:rsidRPr="00235CA3">
        <w:t xml:space="preserve">On 19 December 2024, the Cabinet Office published </w:t>
      </w:r>
      <w:r w:rsidR="00493D66">
        <w:t xml:space="preserve">a </w:t>
      </w:r>
      <w:r w:rsidR="00493D66" w:rsidRPr="00871CB6">
        <w:t>r</w:t>
      </w:r>
      <w:r w:rsidRPr="00871CB6">
        <w:t>eport</w:t>
      </w:r>
      <w:r w:rsidR="00493D66" w:rsidRPr="00871CB6">
        <w:t xml:space="preserve"> on the National Security and Investment Act 2021 (Notifiable Acquisition) (Specification of Qualifying Entities) Regulations 2021</w:t>
      </w:r>
      <w:r w:rsidR="00493D66">
        <w:t xml:space="preserve"> in accordance with regulation 4 of these regulations</w:t>
      </w:r>
      <w:r w:rsidR="00DE057C">
        <w:t>.</w:t>
      </w:r>
    </w:p>
    <w:p w14:paraId="756B287C" w14:textId="6A704354" w:rsidR="001A1B65" w:rsidRPr="001A1B65" w:rsidRDefault="001A1B65" w:rsidP="00E408BC">
      <w:pPr>
        <w:pStyle w:val="General1L3"/>
      </w:pPr>
      <w:r>
        <w:rPr>
          <w:i/>
          <w:iCs/>
        </w:rPr>
        <w:t xml:space="preserve">The </w:t>
      </w:r>
      <w:r w:rsidRPr="00030C97">
        <w:rPr>
          <w:i/>
          <w:iCs/>
        </w:rPr>
        <w:t>Financial Services</w:t>
      </w:r>
      <w:r w:rsidRPr="00030C97">
        <w:rPr>
          <w:i/>
          <w:iCs/>
          <w:lang w:eastAsia="zh-CN"/>
        </w:rPr>
        <w:t xml:space="preserve"> </w:t>
      </w:r>
      <w:r w:rsidRPr="00030C97">
        <w:rPr>
          <w:i/>
          <w:iCs/>
        </w:rPr>
        <w:t>and Markets Act 2023 (Addition of Relevant Enactments) Regulations 2024</w:t>
      </w:r>
      <w:r>
        <w:t xml:space="preserve">. </w:t>
      </w:r>
      <w:r w:rsidR="00A27A4D">
        <w:t xml:space="preserve"> </w:t>
      </w:r>
      <w:r w:rsidRPr="00871CB6">
        <w:t>The Financial Services</w:t>
      </w:r>
      <w:r w:rsidRPr="00871CB6">
        <w:rPr>
          <w:lang w:eastAsia="zh-CN"/>
        </w:rPr>
        <w:t xml:space="preserve"> </w:t>
      </w:r>
      <w:r w:rsidRPr="00871CB6">
        <w:t>and Markets Act 2023 (Addition of Relevant Enactments) Regulations 2024</w:t>
      </w:r>
      <w:r>
        <w:t xml:space="preserve"> (</w:t>
      </w:r>
      <w:r w:rsidR="00A344C2">
        <w:t xml:space="preserve">a draft of </w:t>
      </w:r>
      <w:r>
        <w:t>which w</w:t>
      </w:r>
      <w:r w:rsidR="00A344C2">
        <w:t>as</w:t>
      </w:r>
      <w:r>
        <w:t xml:space="preserve"> noted at the meeting of the Committee held in November 2024) were made on</w:t>
      </w:r>
      <w:r w:rsidR="00D30CC5">
        <w:t xml:space="preserve"> </w:t>
      </w:r>
      <w:r>
        <w:t xml:space="preserve">16 December 2024 and came into force on 17 December 2024 (see also the </w:t>
      </w:r>
      <w:r w:rsidRPr="00871CB6">
        <w:t>explanatory memorandum</w:t>
      </w:r>
      <w:r>
        <w:t>).</w:t>
      </w:r>
    </w:p>
    <w:p w14:paraId="503C38B1" w14:textId="6FD3D4D7" w:rsidR="001A1B65" w:rsidRPr="00151BBA" w:rsidRDefault="001A1B65" w:rsidP="001A1B65">
      <w:pPr>
        <w:pStyle w:val="General1L3"/>
      </w:pPr>
      <w:r w:rsidRPr="00DD6B99">
        <w:rPr>
          <w:i/>
          <w:iCs/>
        </w:rPr>
        <w:t>Government response to House of Lords Modern Slavery Act 2015 Committee</w:t>
      </w:r>
      <w:r>
        <w:rPr>
          <w:i/>
          <w:iCs/>
        </w:rPr>
        <w:t>'s r</w:t>
      </w:r>
      <w:r w:rsidRPr="00DD6B99">
        <w:rPr>
          <w:i/>
          <w:iCs/>
        </w:rPr>
        <w:t>eport</w:t>
      </w:r>
      <w:r>
        <w:t xml:space="preserve">. </w:t>
      </w:r>
      <w:r w:rsidR="00A27A4D">
        <w:t xml:space="preserve"> </w:t>
      </w:r>
      <w:r>
        <w:t xml:space="preserve">On 16 December 2024, the Government published its </w:t>
      </w:r>
      <w:r w:rsidRPr="00871CB6">
        <w:t>response</w:t>
      </w:r>
      <w:r>
        <w:t xml:space="preserve"> </w:t>
      </w:r>
      <w:r w:rsidRPr="00502F4C">
        <w:t xml:space="preserve">to </w:t>
      </w:r>
      <w:r>
        <w:t xml:space="preserve">the </w:t>
      </w:r>
      <w:r w:rsidRPr="00502F4C">
        <w:t>House of Lords Modern Slavery Act 2015 Committee</w:t>
      </w:r>
      <w:r>
        <w:t>'s r</w:t>
      </w:r>
      <w:r w:rsidRPr="00502F4C">
        <w:t>eport</w:t>
      </w:r>
      <w:r>
        <w:t xml:space="preserve"> on the Modern Slavery Act 2015.</w:t>
      </w:r>
    </w:p>
    <w:p w14:paraId="5F60C182" w14:textId="5EBE5C9E" w:rsidR="000C634C" w:rsidRDefault="00B34EAE" w:rsidP="00E408BC">
      <w:pPr>
        <w:pStyle w:val="General1L3"/>
      </w:pPr>
      <w:r w:rsidRPr="00F32207">
        <w:rPr>
          <w:i/>
          <w:iCs/>
        </w:rPr>
        <w:t>Digital Markets, Competition and Consumers Act 2024 commencement regulations</w:t>
      </w:r>
      <w:r>
        <w:t xml:space="preserve">. </w:t>
      </w:r>
      <w:r w:rsidR="00A27A4D">
        <w:t xml:space="preserve"> </w:t>
      </w:r>
      <w:r w:rsidR="00F32207" w:rsidRPr="00871CB6">
        <w:t>The Digital Markets, Competition and Consumers Act 2024 (Commencement No.</w:t>
      </w:r>
      <w:r w:rsidR="00A27A4D">
        <w:t> </w:t>
      </w:r>
      <w:r w:rsidR="00F32207" w:rsidRPr="00871CB6">
        <w:t>1 and Savings and Transitional Provisions) Regulations 2024</w:t>
      </w:r>
      <w:r>
        <w:t xml:space="preserve"> were made on 25 November</w:t>
      </w:r>
      <w:r w:rsidR="00F32207">
        <w:t xml:space="preserve"> 2024 and </w:t>
      </w:r>
      <w:r>
        <w:t>br</w:t>
      </w:r>
      <w:r w:rsidR="00F32207">
        <w:t>ought</w:t>
      </w:r>
      <w:r>
        <w:t xml:space="preserve"> into force</w:t>
      </w:r>
      <w:r w:rsidR="00F32207">
        <w:t xml:space="preserve"> on 1 January 2025 certain provisions in the Digital Markets, Competition and Consumers Act 2024</w:t>
      </w:r>
      <w:r w:rsidR="002B5520">
        <w:t xml:space="preserve"> (a </w:t>
      </w:r>
      <w:r w:rsidR="002B5520" w:rsidRPr="00871CB6">
        <w:t>correction slip</w:t>
      </w:r>
      <w:r w:rsidR="002B5520">
        <w:t xml:space="preserve"> has also been published)</w:t>
      </w:r>
      <w:r w:rsidR="009C4651">
        <w:t>.</w:t>
      </w:r>
    </w:p>
    <w:p w14:paraId="13A66899" w14:textId="77777777" w:rsidR="001E2DD0" w:rsidRDefault="001E2DD0" w:rsidP="001E2DD0">
      <w:pPr>
        <w:pStyle w:val="General1L2"/>
        <w:keepNext/>
        <w:rPr>
          <w:b/>
        </w:rPr>
      </w:pPr>
      <w:r w:rsidRPr="00F74051">
        <w:rPr>
          <w:b/>
        </w:rPr>
        <w:t>Cases</w:t>
      </w:r>
    </w:p>
    <w:p w14:paraId="45A3108A" w14:textId="195D2B3D" w:rsidR="004B0F24" w:rsidRDefault="00B6619F" w:rsidP="0054068D">
      <w:pPr>
        <w:pStyle w:val="General1L3"/>
      </w:pPr>
      <w:r w:rsidRPr="00871CB6">
        <w:rPr>
          <w:i/>
          <w:iCs/>
        </w:rPr>
        <w:t>Aabar Holdings S.À.R.L. v Glencore plc and others [2024] EWHC 3046 (Comm)</w:t>
      </w:r>
      <w:r>
        <w:t>.</w:t>
      </w:r>
      <w:r w:rsidR="008C3544">
        <w:t xml:space="preserve"> </w:t>
      </w:r>
      <w:bookmarkStart w:id="2" w:name="para118"/>
      <w:r w:rsidR="00A27A4D">
        <w:t xml:space="preserve"> </w:t>
      </w:r>
      <w:r w:rsidR="0093636D" w:rsidRPr="0093636D">
        <w:t>In the context of an investor's claim against Glencore plc under sections 90 and 90A of FSMA 2000, the High Court held that the so-called "Shareholder Rule" that a company cannot assert privilege against its own shareholder, save in relation to documents that came into existence for the purpose of hostile litigation against that shareholder, does not exist under English law.</w:t>
      </w:r>
      <w:r w:rsidR="00A27A4D">
        <w:t xml:space="preserve"> </w:t>
      </w:r>
      <w:r w:rsidR="0093636D" w:rsidRPr="0093636D">
        <w:t xml:space="preserve"> This was despite submissions made on behalf of the claimant that this principle has existed in English law for over 135 years and has been approved by both the Court of Appeal and the Supreme Court.</w:t>
      </w:r>
      <w:r w:rsidR="00A27A4D">
        <w:t xml:space="preserve"> </w:t>
      </w:r>
      <w:r w:rsidR="0093636D" w:rsidRPr="0093636D">
        <w:t xml:space="preserve"> Picken J held that "</w:t>
      </w:r>
      <w:r w:rsidR="0093636D" w:rsidRPr="0093636D">
        <w:rPr>
          <w:i/>
          <w:iCs/>
        </w:rPr>
        <w:t xml:space="preserve">the Shareholder Rule is unjustifiable and should no longer be applied. </w:t>
      </w:r>
      <w:r w:rsidR="00A27A4D">
        <w:rPr>
          <w:i/>
          <w:iCs/>
        </w:rPr>
        <w:t xml:space="preserve"> </w:t>
      </w:r>
      <w:r w:rsidR="0093636D" w:rsidRPr="0093636D">
        <w:rPr>
          <w:i/>
          <w:iCs/>
        </w:rPr>
        <w:t>Its original rationale no longer applies…; and the suggested joint interest privilege rationale is neither supported, at least in the shareholder/company context, by authority nor warranted as a matter of principle.</w:t>
      </w:r>
      <w:r w:rsidR="0093636D" w:rsidRPr="0093636D">
        <w:t>".</w:t>
      </w:r>
      <w:r w:rsidR="00A27A4D">
        <w:t xml:space="preserve"> </w:t>
      </w:r>
      <w:r w:rsidR="0093636D" w:rsidRPr="0093636D">
        <w:t xml:space="preserve"> Picken J commented that, if the Shareholder Rule does exist, it applies only where there is a joint interest in the privileged advice between the company and its shareholder, which must be decided on the facts of each case; it does not give the shareholder an absolute right to access any company legal advice whatever.</w:t>
      </w:r>
      <w:r w:rsidR="00A27A4D">
        <w:t xml:space="preserve"> </w:t>
      </w:r>
      <w:r w:rsidR="0093636D" w:rsidRPr="0093636D">
        <w:t xml:space="preserve"> Picken J also made obiter comments that if the rule does exist it would apply to beneficial owners of shares and it would extend to the access by shareholders in a parent company to privileged documents of subsidiary companies within the parent company's corporate group</w:t>
      </w:r>
      <w:r w:rsidR="00801B95">
        <w:t>.</w:t>
      </w:r>
    </w:p>
    <w:p w14:paraId="4EB706A9" w14:textId="6B604536" w:rsidR="0054068D" w:rsidRDefault="00C0737D" w:rsidP="00B55817">
      <w:pPr>
        <w:pStyle w:val="General1L3"/>
      </w:pPr>
      <w:r w:rsidRPr="00871CB6">
        <w:rPr>
          <w:i/>
          <w:iCs/>
        </w:rPr>
        <w:t>Adie &amp; Anor v Ingenuity Digital Ltd [2024] EWHC 2902 (Ch)</w:t>
      </w:r>
      <w:r>
        <w:t xml:space="preserve">. </w:t>
      </w:r>
      <w:r w:rsidR="00A27A4D">
        <w:t xml:space="preserve"> </w:t>
      </w:r>
      <w:r>
        <w:t>In relation to a dispute regarding the calculation of the deferred consideration payable under an SPA, the High Court dismissed the sellers' Part 8 claim for declarations that: (a) the buyer was not entitled to adjust the target's EBITDA by deducting the amount of two written-off invoices for the purposes of the deferred consideration calculation under the SPA, on the grounds that the buyer's sole remedy in relation to the customer dispute that led to the invoices being written off was under a separate specific indemnity clause in the SPA; but (b) if the buyer was entitled to make such adjustment, then it was not entitled also to make a claim under the indemnity in respect of the two written-off invoices.  In dismissing the seller's claim, the judge concluded that the sellers' remedy in relation to (a) was to contest the adjustment under the expert determination procedure already provided for by the deferred consideration provisions in the SPA, and its remedy in relation to (b) was to contest any such indemnity claim in court proceedings.  A 'no double recovery' clause that prohibited the buyer from recovering damages "</w:t>
      </w:r>
      <w:r w:rsidRPr="00A25828">
        <w:rPr>
          <w:i/>
          <w:iCs/>
        </w:rPr>
        <w:t>or otherwise obtain reimbursement or restitution</w:t>
      </w:r>
      <w:r>
        <w:t>" more than once in respect of any indemnity claim was not applicable, as an adjustment of EBITDA cannot be said to be a claim for damages, reimbursement or restitution.  Notwithstanding the inapplicability of such clause, insofar as the buyer's actions could lead to a double claim or double recovery and hence would plainly have been understood by both parties at the time of entry into the SPA as objectionable on any sensible basis (and thus require the court to hold that the SPA must be construed as prohibiting the buyer from exercising its right to make the EBITDA adjustment), it would still be possible for such objection to be addressed by relief being refused or reduced in relation to any indemnity claim</w:t>
      </w:r>
      <w:r w:rsidR="00E72E7B">
        <w:t>.</w:t>
      </w:r>
      <w:bookmarkEnd w:id="2"/>
    </w:p>
    <w:p w14:paraId="15834FC2" w14:textId="799EB88D" w:rsidR="00E27029" w:rsidRDefault="00BE0DCC" w:rsidP="00ED452F">
      <w:pPr>
        <w:pStyle w:val="General1L3"/>
      </w:pPr>
      <w:r w:rsidRPr="00871CB6">
        <w:rPr>
          <w:i/>
          <w:iCs/>
        </w:rPr>
        <w:t>Re KRF Services (UK) Ltd [2024] EWHC 2978 (Ch)</w:t>
      </w:r>
      <w:r>
        <w:t xml:space="preserve">. </w:t>
      </w:r>
      <w:r w:rsidR="00AE23DB">
        <w:t xml:space="preserve"> </w:t>
      </w:r>
      <w:r>
        <w:t xml:space="preserve">The High Court affirmed the ratio in </w:t>
      </w:r>
      <w:r w:rsidRPr="00E451EE">
        <w:rPr>
          <w:i/>
          <w:iCs/>
        </w:rPr>
        <w:t>Re Active Wear Ltd</w:t>
      </w:r>
      <w:r>
        <w:t xml:space="preserve"> [2022] EWHC 2340 (Ch) that Model Article 7(2), which provides that if the company has only one director and no provision of its articles requires it to have more than one director, then the sole director may take decisions without regard to the provisions of the Model Articles relating to directors' decision-making (including Model Article 11(2), which provides that the quorum for directors' meetings must never be less than two).  The judge commented that if Model Article 11(2) were to be read as a requirement for more than one director (as was suggested in </w:t>
      </w:r>
      <w:r w:rsidRPr="00E451EE">
        <w:rPr>
          <w:i/>
          <w:iCs/>
        </w:rPr>
        <w:t>Re Fore Fitness Investments Holdings Ltd, Hashmi v Lorimer-Wing</w:t>
      </w:r>
      <w:r>
        <w:t xml:space="preserve"> [2022] EWHC 191 (Ch)), Model Article 7(2) could never have effect, which is unlikely to have been the intended effect of the Model Articles.  However, the judge disagreed with the obiter comments in </w:t>
      </w:r>
      <w:r w:rsidRPr="00E451EE">
        <w:rPr>
          <w:i/>
          <w:iCs/>
        </w:rPr>
        <w:t>Active Wear</w:t>
      </w:r>
      <w:r>
        <w:t xml:space="preserve"> that Model Article 7(2) applies only where the company has never had more than one director (the judge in that case citing the apparent tension with Model Article 11(3), which provides that if the total number of directors for the time being is less than the quorum required, the directors must not take any decision other than to appoint (or facilitate shareholders appointing) further directors) on the basis that the first condition for Model Article 7(2) to apply (i.e.</w:t>
      </w:r>
      <w:r w:rsidR="00AE23DB">
        <w:t> </w:t>
      </w:r>
      <w:r>
        <w:t>that "</w:t>
      </w:r>
      <w:r w:rsidRPr="00E451EE">
        <w:rPr>
          <w:i/>
          <w:iCs/>
        </w:rPr>
        <w:t>the company only has one director</w:t>
      </w:r>
      <w:r>
        <w:t>") is expressed in the present tense.</w:t>
      </w:r>
    </w:p>
    <w:p w14:paraId="659C40C4" w14:textId="0824A5BA" w:rsidR="00700129" w:rsidRDefault="00116B96" w:rsidP="0033161C">
      <w:pPr>
        <w:pStyle w:val="General1L3"/>
      </w:pPr>
      <w:r w:rsidRPr="00871CB6">
        <w:rPr>
          <w:i/>
          <w:iCs/>
        </w:rPr>
        <w:t>LA Micro Group Inc v LA Micro Group (UK) Ltd and others [2024] UKSC 42</w:t>
      </w:r>
      <w:r w:rsidR="0010452C">
        <w:t>.</w:t>
      </w:r>
      <w:r w:rsidR="008A315B">
        <w:t xml:space="preserve">  </w:t>
      </w:r>
      <w:r w:rsidR="00B63E96">
        <w:t>The Supreme Court considered whether</w:t>
      </w:r>
      <w:r w:rsidR="008A315B" w:rsidRPr="008A315B">
        <w:t xml:space="preserve"> an agreement to transfer the beneficial interest in shares in a private company to the legal owner of those shares need</w:t>
      </w:r>
      <w:r w:rsidR="00B63E96">
        <w:t>s</w:t>
      </w:r>
      <w:r w:rsidR="008A315B" w:rsidRPr="008A315B">
        <w:t xml:space="preserve"> to be in writing and signed by each of those making the disposal</w:t>
      </w:r>
      <w:r w:rsidR="00B63E96">
        <w:t xml:space="preserve"> </w:t>
      </w:r>
      <w:r w:rsidR="00DE1B91">
        <w:t>in accordance with</w:t>
      </w:r>
      <w:r w:rsidR="00B63E96">
        <w:t xml:space="preserve"> section 53(1)(c) of the Law of Property Act 1925 (</w:t>
      </w:r>
      <w:r w:rsidR="00B63E96" w:rsidRPr="00B63E96">
        <w:rPr>
          <w:b/>
          <w:bCs/>
        </w:rPr>
        <w:t>LPA</w:t>
      </w:r>
      <w:r w:rsidR="00B63E96">
        <w:t>)</w:t>
      </w:r>
      <w:r w:rsidR="00165876">
        <w:t>.</w:t>
      </w:r>
      <w:r w:rsidR="00B63E96">
        <w:t xml:space="preserve">  </w:t>
      </w:r>
      <w:r w:rsidR="008A315B">
        <w:t xml:space="preserve">The Supreme Court held that the failure to comply with the requirement for signed writing under section 53(1)(c) did not prevent </w:t>
      </w:r>
      <w:r w:rsidR="008A315B" w:rsidRPr="008A315B">
        <w:t xml:space="preserve">an </w:t>
      </w:r>
      <w:r w:rsidR="001E250D">
        <w:t xml:space="preserve">oral </w:t>
      </w:r>
      <w:r w:rsidR="008A315B" w:rsidRPr="008A315B">
        <w:t>agreement to transfer the beneficial interest in shares in a private company to the legal owner of those shares</w:t>
      </w:r>
      <w:r w:rsidR="008A315B">
        <w:t xml:space="preserve"> from taking effect.  </w:t>
      </w:r>
      <w:r w:rsidR="007A5023">
        <w:t>S</w:t>
      </w:r>
      <w:r w:rsidR="008A315B">
        <w:t xml:space="preserve">ection 53(2) LPA </w:t>
      </w:r>
      <w:r w:rsidR="00194DAE">
        <w:t>provides</w:t>
      </w:r>
      <w:r w:rsidR="008A315B">
        <w:t xml:space="preserve"> that the requirement for signed writing </w:t>
      </w:r>
      <w:r w:rsidR="002A13C4">
        <w:t>in section 53</w:t>
      </w:r>
      <w:r w:rsidR="00194DAE">
        <w:t>(1)(c)</w:t>
      </w:r>
      <w:r w:rsidR="002A13C4">
        <w:t xml:space="preserve"> </w:t>
      </w:r>
      <w:r w:rsidR="008A315B">
        <w:t xml:space="preserve">does not affect the operation of a constructive trust. </w:t>
      </w:r>
      <w:r w:rsidR="00D3288D">
        <w:t xml:space="preserve"> </w:t>
      </w:r>
      <w:r w:rsidR="00351AB4">
        <w:t>The Supreme Court held that</w:t>
      </w:r>
      <w:r w:rsidR="00C255C6">
        <w:t xml:space="preserve"> t</w:t>
      </w:r>
      <w:r w:rsidR="008A315B">
        <w:t xml:space="preserve">he circumstances created by the </w:t>
      </w:r>
      <w:r w:rsidR="00D3288D">
        <w:t xml:space="preserve">oral </w:t>
      </w:r>
      <w:r w:rsidR="008A315B">
        <w:t xml:space="preserve">agreement gave rise to the operation of a </w:t>
      </w:r>
      <w:r w:rsidR="005165D9">
        <w:t xml:space="preserve">momentary </w:t>
      </w:r>
      <w:r w:rsidR="008A315B">
        <w:t>purchaser-vendor constructive trust</w:t>
      </w:r>
      <w:r w:rsidR="00EE5506">
        <w:t xml:space="preserve"> </w:t>
      </w:r>
      <w:r w:rsidR="002A13C4">
        <w:t>(</w:t>
      </w:r>
      <w:r w:rsidR="00EE5506">
        <w:t xml:space="preserve">i.e., a </w:t>
      </w:r>
      <w:r w:rsidR="00EE5506" w:rsidRPr="00EE5506">
        <w:t>trust which typically arises whenever there is an agreement for the sale of property with regard to which the courts would grant specific performance</w:t>
      </w:r>
      <w:r w:rsidR="002A13C4">
        <w:t>) and, therefore,</w:t>
      </w:r>
      <w:r w:rsidR="008A315B">
        <w:t xml:space="preserve"> the </w:t>
      </w:r>
      <w:r w:rsidR="00BD1A61">
        <w:t>disposition</w:t>
      </w:r>
      <w:r w:rsidR="008A315B">
        <w:t xml:space="preserve"> fell within the </w:t>
      </w:r>
      <w:r w:rsidR="00D3288D">
        <w:t xml:space="preserve">exception in </w:t>
      </w:r>
      <w:r w:rsidR="008A315B">
        <w:t>section</w:t>
      </w:r>
      <w:r w:rsidR="00D3288D">
        <w:t xml:space="preserve"> </w:t>
      </w:r>
      <w:r w:rsidR="008A315B">
        <w:t>5</w:t>
      </w:r>
      <w:r w:rsidR="002A13C4">
        <w:t>3</w:t>
      </w:r>
      <w:r w:rsidR="008A315B">
        <w:t>(</w:t>
      </w:r>
      <w:r w:rsidR="002A13C4">
        <w:t>2</w:t>
      </w:r>
      <w:r w:rsidR="008A315B">
        <w:t>).</w:t>
      </w:r>
      <w:r w:rsidR="00342926">
        <w:t xml:space="preserve">  </w:t>
      </w:r>
      <w:r w:rsidR="00342926" w:rsidRPr="00342926">
        <w:t xml:space="preserve">The Supreme Court also clarified </w:t>
      </w:r>
      <w:r w:rsidR="00342926">
        <w:t>that</w:t>
      </w:r>
      <w:r w:rsidR="00EF58C2">
        <w:t>, in its view,</w:t>
      </w:r>
      <w:r w:rsidR="00342926">
        <w:t xml:space="preserve"> the requirements in </w:t>
      </w:r>
      <w:r w:rsidR="00342926" w:rsidRPr="00342926">
        <w:t>section 53(1)(c)</w:t>
      </w:r>
      <w:r w:rsidR="00342926">
        <w:t xml:space="preserve"> a</w:t>
      </w:r>
      <w:r w:rsidR="00342926" w:rsidRPr="00342926">
        <w:t>ppl</w:t>
      </w:r>
      <w:r w:rsidR="00342926">
        <w:t>y</w:t>
      </w:r>
      <w:r w:rsidR="00342926" w:rsidRPr="00342926">
        <w:t xml:space="preserve"> to</w:t>
      </w:r>
      <w:r w:rsidR="00FE54E9">
        <w:t xml:space="preserve"> equitable interests in</w:t>
      </w:r>
      <w:r w:rsidR="00342926" w:rsidRPr="00342926">
        <w:t xml:space="preserve"> personal property</w:t>
      </w:r>
      <w:r w:rsidR="00342926">
        <w:t xml:space="preserve"> (including </w:t>
      </w:r>
      <w:r w:rsidR="00FE54E9">
        <w:t xml:space="preserve">equitable </w:t>
      </w:r>
      <w:r w:rsidR="00342926">
        <w:t>interests in shares)</w:t>
      </w:r>
      <w:r w:rsidR="00342926" w:rsidRPr="00342926">
        <w:t xml:space="preserve"> as well as equitable interests in land</w:t>
      </w:r>
      <w:r w:rsidR="000E000F">
        <w:t>.</w:t>
      </w:r>
    </w:p>
    <w:p w14:paraId="1F617DAE" w14:textId="2E51503E" w:rsidR="003A1681" w:rsidRPr="003A1681" w:rsidRDefault="00700129" w:rsidP="00F44EF8">
      <w:pPr>
        <w:pStyle w:val="General1L3"/>
      </w:pPr>
      <w:r w:rsidRPr="00871CB6">
        <w:rPr>
          <w:i/>
          <w:iCs/>
        </w:rPr>
        <w:t>Panel on Takeovers and Mergers v Balfour</w:t>
      </w:r>
      <w:r w:rsidR="00A44E12" w:rsidRPr="00871CB6">
        <w:rPr>
          <w:i/>
          <w:iCs/>
        </w:rPr>
        <w:t>-</w:t>
      </w:r>
      <w:r w:rsidRPr="00871CB6">
        <w:rPr>
          <w:i/>
          <w:iCs/>
        </w:rPr>
        <w:t>Lynn and others [2024] EWHC 3044 (Ch)</w:t>
      </w:r>
      <w:r w:rsidR="007A5023">
        <w:t>.</w:t>
      </w:r>
      <w:r w:rsidR="00AE23DB">
        <w:t xml:space="preserve"> </w:t>
      </w:r>
      <w:r>
        <w:t xml:space="preserve"> </w:t>
      </w:r>
      <w:r w:rsidR="00F44EF8" w:rsidRPr="00F44EF8">
        <w:t xml:space="preserve">In a case brought by the Panel, the High Court granted an order to secure compliance to pay compensation to target shareholders, subsequent to rulings of the Panel and the Takeover Appeal Board, as the compensation ordered remained unpaid three months after the rulings. </w:t>
      </w:r>
      <w:r w:rsidR="00F44EF8">
        <w:t xml:space="preserve"> </w:t>
      </w:r>
      <w:r w:rsidR="00F44EF8" w:rsidRPr="00F44EF8">
        <w:t>This is only the second time the Panel has sought an order under s</w:t>
      </w:r>
      <w:r w:rsidR="00F44EF8">
        <w:t xml:space="preserve">ection </w:t>
      </w:r>
      <w:r w:rsidR="00F44EF8" w:rsidRPr="00F44EF8">
        <w:t xml:space="preserve">955 CA 2006, which empowers the Panel to apply to </w:t>
      </w:r>
      <w:r w:rsidR="00D26D4D">
        <w:t>the c</w:t>
      </w:r>
      <w:r w:rsidR="00F44EF8" w:rsidRPr="00F44EF8">
        <w:t xml:space="preserve">ourt to secure compliance with its rulings. </w:t>
      </w:r>
      <w:r w:rsidR="00F44EF8">
        <w:t xml:space="preserve"> T</w:t>
      </w:r>
      <w:r w:rsidR="00F44EF8" w:rsidRPr="00F44EF8">
        <w:t xml:space="preserve">he </w:t>
      </w:r>
      <w:r w:rsidR="00D26D4D">
        <w:t xml:space="preserve">High </w:t>
      </w:r>
      <w:r w:rsidR="00F44EF8" w:rsidRPr="00F44EF8">
        <w:t>Court did not seek to rehear the substantive issues which underlay the Panel’s application for an order under s.955.</w:t>
      </w:r>
      <w:r w:rsidR="00AE23DB">
        <w:t xml:space="preserve">  </w:t>
      </w:r>
      <w:r w:rsidR="00F44EF8" w:rsidRPr="00F44EF8">
        <w:t xml:space="preserve">In granting the orders it was observed that the </w:t>
      </w:r>
      <w:r w:rsidR="00D26D4D">
        <w:t>c</w:t>
      </w:r>
      <w:r w:rsidR="00F44EF8" w:rsidRPr="00F44EF8">
        <w:t>ourt's discretion to grant a s</w:t>
      </w:r>
      <w:r w:rsidR="00F44EF8">
        <w:t xml:space="preserve">ection </w:t>
      </w:r>
      <w:r w:rsidR="00F44EF8" w:rsidRPr="00F44EF8">
        <w:t xml:space="preserve">955 order is </w:t>
      </w:r>
      <w:r w:rsidR="00F44EF8">
        <w:t>"</w:t>
      </w:r>
      <w:r w:rsidR="00F44EF8" w:rsidRPr="00F44EF8">
        <w:rPr>
          <w:i/>
          <w:iCs/>
        </w:rPr>
        <w:t>at large</w:t>
      </w:r>
      <w:r w:rsidR="006A5603">
        <w:t>"</w:t>
      </w:r>
      <w:r w:rsidR="00F44EF8" w:rsidRPr="00F44EF8">
        <w:t xml:space="preserve"> and is to be exercised </w:t>
      </w:r>
      <w:r w:rsidR="00F44EF8">
        <w:t>"</w:t>
      </w:r>
      <w:r w:rsidR="00F44EF8" w:rsidRPr="00F44EF8">
        <w:rPr>
          <w:i/>
          <w:iCs/>
        </w:rPr>
        <w:t>with the public policy in mind ... to ensure that shareholders in an offeree company are treated fairly, are not denied an opportunity to decide on the merits of a takeover, and that shareholders of the same class in the offeree company are afforded equivalent treatment by an offeror</w:t>
      </w:r>
      <w:r w:rsidR="00F44EF8">
        <w:t>"</w:t>
      </w:r>
      <w:r w:rsidR="00F44EF8" w:rsidRPr="00F44EF8">
        <w:t xml:space="preserve">. </w:t>
      </w:r>
      <w:r w:rsidR="00F44EF8">
        <w:t xml:space="preserve"> </w:t>
      </w:r>
      <w:r w:rsidR="00F44EF8" w:rsidRPr="00F44EF8">
        <w:t xml:space="preserve">Inability to pay should weigh very lightly in the balance of discretion. </w:t>
      </w:r>
      <w:r w:rsidR="00AE23DB">
        <w:t xml:space="preserve"> </w:t>
      </w:r>
      <w:r w:rsidR="00F44EF8" w:rsidRPr="00F44EF8">
        <w:t xml:space="preserve">The rulings had related to a breach of Rule 9 of the </w:t>
      </w:r>
      <w:r w:rsidR="00F44EF8">
        <w:t xml:space="preserve">Takeover </w:t>
      </w:r>
      <w:r w:rsidR="00F44EF8" w:rsidRPr="00F44EF8">
        <w:t xml:space="preserve">Code, by members of an undisclosed concert party that had acquired control of the offeree company, in a context where many of the concert members were cold-shouldered for misleading the Panel in its enforcement investigation. </w:t>
      </w:r>
      <w:r w:rsidR="00F44EF8">
        <w:t xml:space="preserve"> </w:t>
      </w:r>
      <w:r w:rsidR="00F44EF8" w:rsidRPr="00F44EF8">
        <w:t>It was the first time a compensation order had been made under s</w:t>
      </w:r>
      <w:r w:rsidR="00F44EF8">
        <w:t xml:space="preserve">ection </w:t>
      </w:r>
      <w:r w:rsidR="00F44EF8" w:rsidRPr="00F44EF8">
        <w:t>954 CA 2006.</w:t>
      </w:r>
      <w:r w:rsidR="00AE23DB">
        <w:t xml:space="preserve"> </w:t>
      </w:r>
      <w:r w:rsidR="00F44EF8" w:rsidRPr="00F44EF8">
        <w:t xml:space="preserve"> Compensation was sought as an alternative to a Rule 9 offer by the concert party members, owing to the specific unusual circumstances of the offeree company; it had been liquidated in 2013 and removed from the Register of Companies in 2018</w:t>
      </w:r>
      <w:r w:rsidR="00D26D4D">
        <w:t>.</w:t>
      </w:r>
    </w:p>
    <w:p w14:paraId="4F134B82" w14:textId="7A1F46B0" w:rsidR="00C40620" w:rsidRDefault="001E2DD0" w:rsidP="00871CB6">
      <w:pPr>
        <w:pStyle w:val="General1L1"/>
        <w:keepNext/>
        <w:rPr>
          <w:rFonts w:asciiTheme="minorHAnsi" w:hAnsiTheme="minorHAnsi" w:cstheme="minorHAnsi"/>
          <w:b/>
        </w:rPr>
      </w:pPr>
      <w:r w:rsidRPr="005B2392">
        <w:rPr>
          <w:rFonts w:asciiTheme="minorHAnsi" w:hAnsiTheme="minorHAnsi" w:cstheme="minorHAnsi"/>
          <w:b/>
        </w:rPr>
        <w:t>Any other business</w:t>
      </w:r>
    </w:p>
    <w:p w14:paraId="124A2882" w14:textId="1ABED1CF" w:rsidR="00CB7E70" w:rsidRPr="00CB7E70" w:rsidRDefault="00247094" w:rsidP="00CB7E70">
      <w:pPr>
        <w:pStyle w:val="General1L2"/>
      </w:pPr>
      <w:r>
        <w:rPr>
          <w:i/>
          <w:iCs/>
        </w:rPr>
        <w:t>CLLS A</w:t>
      </w:r>
      <w:r w:rsidRPr="00247094">
        <w:rPr>
          <w:i/>
          <w:iCs/>
        </w:rPr>
        <w:t>nnual Banquet</w:t>
      </w:r>
      <w:r>
        <w:t xml:space="preserve">. </w:t>
      </w:r>
      <w:r w:rsidR="00AE23DB">
        <w:t xml:space="preserve"> </w:t>
      </w:r>
      <w:r w:rsidR="0049490F">
        <w:t>The Chair noted that t</w:t>
      </w:r>
      <w:r>
        <w:t xml:space="preserve">he </w:t>
      </w:r>
      <w:r w:rsidR="00CB7E70" w:rsidRPr="00CB7E70">
        <w:t>CLLS Annual Banquet</w:t>
      </w:r>
      <w:r w:rsidR="00CB7E70">
        <w:t xml:space="preserve"> will be held at Mansion House on 25 February 2025</w:t>
      </w:r>
      <w:r w:rsidR="0049490F">
        <w:t xml:space="preserve"> and reminded members of the Committee that b</w:t>
      </w:r>
      <w:r w:rsidR="005C3AF2" w:rsidRPr="005C3AF2">
        <w:t>ookings close on 18 February 2025</w:t>
      </w:r>
      <w:r w:rsidR="005C3AF2">
        <w:t xml:space="preserve">.  </w:t>
      </w:r>
      <w:r w:rsidR="0049490F">
        <w:t xml:space="preserve">The Chair referred members of the Committee to the </w:t>
      </w:r>
      <w:r w:rsidR="005C3AF2">
        <w:t>notice circulated</w:t>
      </w:r>
      <w:r w:rsidR="00D95383">
        <w:t xml:space="preserve"> </w:t>
      </w:r>
      <w:r w:rsidR="0049490F">
        <w:t xml:space="preserve">to them </w:t>
      </w:r>
      <w:r w:rsidR="00D95383">
        <w:t>by the Secretary</w:t>
      </w:r>
      <w:r w:rsidR="0049490F">
        <w:t xml:space="preserve"> </w:t>
      </w:r>
      <w:r w:rsidR="005C3AF2">
        <w:t>on 16 January</w:t>
      </w:r>
      <w:r w:rsidR="00D95383">
        <w:t xml:space="preserve"> </w:t>
      </w:r>
      <w:r w:rsidR="0049490F">
        <w:t>should they need</w:t>
      </w:r>
      <w:r w:rsidR="00D95383">
        <w:t xml:space="preserve"> </w:t>
      </w:r>
      <w:r w:rsidR="0049490F">
        <w:t xml:space="preserve">any </w:t>
      </w:r>
      <w:r w:rsidR="00D95383">
        <w:t>further information.</w:t>
      </w:r>
    </w:p>
    <w:p w14:paraId="43B8418F" w14:textId="346E33C5" w:rsidR="00286069" w:rsidRDefault="00423A47" w:rsidP="00670C15">
      <w:pPr>
        <w:pStyle w:val="General1L2"/>
      </w:pPr>
      <w:r w:rsidRPr="00423A47">
        <w:rPr>
          <w:i/>
          <w:iCs/>
        </w:rPr>
        <w:t>March 202</w:t>
      </w:r>
      <w:r>
        <w:rPr>
          <w:i/>
          <w:iCs/>
        </w:rPr>
        <w:t>5</w:t>
      </w:r>
      <w:r w:rsidRPr="00423A47">
        <w:rPr>
          <w:i/>
          <w:iCs/>
        </w:rPr>
        <w:t xml:space="preserve"> Committee meeting. </w:t>
      </w:r>
      <w:r w:rsidR="00AE23DB">
        <w:rPr>
          <w:i/>
          <w:iCs/>
        </w:rPr>
        <w:t xml:space="preserve"> </w:t>
      </w:r>
      <w:r w:rsidR="0066165A">
        <w:t xml:space="preserve">The Chair also </w:t>
      </w:r>
      <w:r>
        <w:t>reminde</w:t>
      </w:r>
      <w:r w:rsidR="0066165A">
        <w:t xml:space="preserve">d members of the Committee that </w:t>
      </w:r>
      <w:r>
        <w:t>t</w:t>
      </w:r>
      <w:r w:rsidRPr="00423A47">
        <w:t>he meeting of the Committee to be held on 2</w:t>
      </w:r>
      <w:r>
        <w:t>6</w:t>
      </w:r>
      <w:r w:rsidRPr="00423A47">
        <w:t xml:space="preserve"> March 202</w:t>
      </w:r>
      <w:r>
        <w:t>5</w:t>
      </w:r>
      <w:r w:rsidRPr="00423A47">
        <w:t xml:space="preserve"> will be in person</w:t>
      </w:r>
      <w:r>
        <w:t xml:space="preserve"> and followed by a dinner.  </w:t>
      </w:r>
      <w:r w:rsidR="0066165A">
        <w:t>The Chair asked members of t</w:t>
      </w:r>
      <w:r w:rsidR="00670C15">
        <w:t xml:space="preserve">he Committee </w:t>
      </w:r>
      <w:r w:rsidR="0066165A">
        <w:t xml:space="preserve">to </w:t>
      </w:r>
      <w:r w:rsidR="00670C15">
        <w:t>let the Secretary know whether they are planning to attend the dinner</w:t>
      </w:r>
      <w:r w:rsidR="00964200">
        <w:t>.</w:t>
      </w:r>
    </w:p>
    <w:p w14:paraId="35EFBF5C" w14:textId="77777777" w:rsidR="00931D21" w:rsidRDefault="00931D21" w:rsidP="00931D21">
      <w:pPr>
        <w:pStyle w:val="BodyText"/>
      </w:pPr>
    </w:p>
    <w:p w14:paraId="43833BC6" w14:textId="12121B82" w:rsidR="00931D21" w:rsidRPr="00931D21" w:rsidRDefault="00931D21" w:rsidP="00931D21">
      <w:pPr>
        <w:pStyle w:val="BodyText"/>
      </w:pPr>
      <w:r>
        <w:t>7 Marc</w:t>
      </w:r>
      <w:r w:rsidR="00E97079">
        <w:t>h</w:t>
      </w:r>
      <w:r>
        <w:t xml:space="preserve"> 2025</w:t>
      </w:r>
    </w:p>
    <w:p w14:paraId="1CE7BCE9" w14:textId="0146EA93" w:rsidR="003A1681" w:rsidRDefault="003A1681" w:rsidP="003A1681">
      <w:pPr>
        <w:pStyle w:val="BodyText1"/>
      </w:pPr>
    </w:p>
    <w:bookmarkEnd w:id="0"/>
    <w:p w14:paraId="18A1B829" w14:textId="77777777" w:rsidR="003A1681" w:rsidRPr="003A1681" w:rsidRDefault="003A1681" w:rsidP="003A1681">
      <w:pPr>
        <w:pStyle w:val="BodyText1"/>
      </w:pPr>
    </w:p>
    <w:sectPr w:rsidR="003A1681" w:rsidRPr="003A1681"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AC4F" w14:textId="77777777" w:rsidR="00353099" w:rsidRDefault="00353099" w:rsidP="00FD33A2">
      <w:pPr>
        <w:spacing w:after="0"/>
      </w:pPr>
      <w:r>
        <w:separator/>
      </w:r>
    </w:p>
  </w:endnote>
  <w:endnote w:type="continuationSeparator" w:id="0">
    <w:p w14:paraId="4CF80DE9" w14:textId="77777777" w:rsidR="00353099" w:rsidRDefault="00353099" w:rsidP="00FD33A2">
      <w:pPr>
        <w:spacing w:after="0"/>
      </w:pPr>
      <w:r>
        <w:continuationSeparator/>
      </w:r>
    </w:p>
  </w:endnote>
  <w:endnote w:type="continuationNotice" w:id="1">
    <w:p w14:paraId="56150DE8" w14:textId="77777777" w:rsidR="00353099" w:rsidRDefault="00353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3A1B" w14:textId="77777777" w:rsidR="004A772F" w:rsidRDefault="004A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ED7B46" w14:paraId="2AB6CA07" w14:textId="77777777" w:rsidTr="00882427">
      <w:sdt>
        <w:sdtPr>
          <w:tag w:val="CCDocID"/>
          <w:id w:val="324870766"/>
          <w:placeholder>
            <w:docPart w:val="FB93974DF7364AFB8B82B9802F8F0059"/>
          </w:placeholder>
          <w:text/>
        </w:sdtPr>
        <w:sdtEndPr/>
        <w:sdtContent>
          <w:tc>
            <w:tcPr>
              <w:tcW w:w="3080" w:type="dxa"/>
            </w:tcPr>
            <w:p w14:paraId="473AC4C0" w14:textId="4B8F507E" w:rsidR="00ED7B46" w:rsidRDefault="004A772F" w:rsidP="00882427">
              <w:pPr>
                <w:pStyle w:val="Footer"/>
              </w:pPr>
              <w:r>
                <w:t>10315853864-v1</w:t>
              </w:r>
            </w:p>
          </w:tc>
        </w:sdtContent>
      </w:sdt>
      <w:tc>
        <w:tcPr>
          <w:tcW w:w="3081" w:type="dxa"/>
        </w:tcPr>
        <w:p w14:paraId="349AD071" w14:textId="186D3D48"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1257207485"/>
          <w:placeholder>
            <w:docPart w:val="FFC2AC3E36EA4048A1AACFF46D44CF33"/>
          </w:placeholder>
          <w:text/>
        </w:sdtPr>
        <w:sdtEndPr/>
        <w:sdtContent>
          <w:tc>
            <w:tcPr>
              <w:tcW w:w="3081" w:type="dxa"/>
            </w:tcPr>
            <w:p w14:paraId="323B5EF6" w14:textId="2A4AC32A" w:rsidR="00ED7B46" w:rsidRDefault="004A772F" w:rsidP="00882427">
              <w:pPr>
                <w:pStyle w:val="FooterRight"/>
              </w:pPr>
              <w:r>
                <w:t>UK-0020-PSL</w:t>
              </w:r>
            </w:p>
          </w:tc>
        </w:sdtContent>
      </w:sdt>
    </w:tr>
  </w:tbl>
  <w:p w14:paraId="41712D09" w14:textId="77777777" w:rsidR="00ED7B46" w:rsidRPr="00FF592B" w:rsidRDefault="00ED7B46" w:rsidP="0088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ED7B46" w14:paraId="0B37CE84" w14:textId="77777777" w:rsidTr="00882427">
      <w:sdt>
        <w:sdtPr>
          <w:tag w:val="CCDocID"/>
          <w:id w:val="-1176191864"/>
          <w:placeholder>
            <w:docPart w:val="910A75C86A67437A8E36E69FAD24F6FC"/>
          </w:placeholder>
          <w:text/>
        </w:sdtPr>
        <w:sdtEndPr/>
        <w:sdtContent>
          <w:tc>
            <w:tcPr>
              <w:tcW w:w="3080" w:type="dxa"/>
            </w:tcPr>
            <w:p w14:paraId="1BDCC306" w14:textId="00904146" w:rsidR="00ED7B46" w:rsidRDefault="004A772F" w:rsidP="00882427">
              <w:pPr>
                <w:pStyle w:val="Footer"/>
              </w:pPr>
              <w:r>
                <w:t>10315853864-v1</w:t>
              </w:r>
            </w:p>
          </w:tc>
        </w:sdtContent>
      </w:sdt>
      <w:tc>
        <w:tcPr>
          <w:tcW w:w="3081" w:type="dxa"/>
        </w:tcPr>
        <w:p w14:paraId="7F328AE0" w14:textId="19B3A61C"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1108271580"/>
          <w:placeholder>
            <w:docPart w:val="91A3CD47CABD4A17AB78CBE7FFB960A6"/>
          </w:placeholder>
          <w:text/>
        </w:sdtPr>
        <w:sdtEndPr/>
        <w:sdtContent>
          <w:tc>
            <w:tcPr>
              <w:tcW w:w="3081" w:type="dxa"/>
            </w:tcPr>
            <w:p w14:paraId="5106C170" w14:textId="4E9D4132" w:rsidR="00ED7B46" w:rsidRDefault="004A772F" w:rsidP="00882427">
              <w:pPr>
                <w:pStyle w:val="FooterRight"/>
              </w:pPr>
              <w:r>
                <w:t>UK-0020-PSL</w:t>
              </w:r>
            </w:p>
          </w:tc>
        </w:sdtContent>
      </w:sdt>
    </w:tr>
  </w:tbl>
  <w:p w14:paraId="76FA55D9" w14:textId="77777777" w:rsidR="00ED7B46" w:rsidRPr="00FF592B" w:rsidRDefault="00ED7B46"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7804" w14:textId="77777777" w:rsidR="00353099" w:rsidRDefault="00353099" w:rsidP="00FD33A2">
      <w:pPr>
        <w:spacing w:after="0"/>
      </w:pPr>
      <w:r>
        <w:separator/>
      </w:r>
    </w:p>
  </w:footnote>
  <w:footnote w:type="continuationSeparator" w:id="0">
    <w:p w14:paraId="36A18409" w14:textId="77777777" w:rsidR="00353099" w:rsidRDefault="00353099" w:rsidP="00FD33A2">
      <w:pPr>
        <w:spacing w:after="0"/>
      </w:pPr>
      <w:r>
        <w:continuationSeparator/>
      </w:r>
    </w:p>
  </w:footnote>
  <w:footnote w:type="continuationNotice" w:id="1">
    <w:p w14:paraId="265E7965" w14:textId="77777777" w:rsidR="00353099" w:rsidRDefault="00353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6FA" w14:textId="77777777" w:rsidR="004A772F" w:rsidRDefault="004A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D034" w14:textId="77777777" w:rsidR="004A772F" w:rsidRDefault="004A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7FC5" w14:textId="77777777" w:rsidR="004A772F" w:rsidRDefault="004A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E8774CA"/>
    <w:multiLevelType w:val="multilevel"/>
    <w:tmpl w:val="784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2CF916AA"/>
    <w:multiLevelType w:val="hybridMultilevel"/>
    <w:tmpl w:val="49D83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D77D11"/>
    <w:multiLevelType w:val="multilevel"/>
    <w:tmpl w:val="748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04D12"/>
    <w:multiLevelType w:val="hybridMultilevel"/>
    <w:tmpl w:val="F9B68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C0C89"/>
    <w:multiLevelType w:val="hybridMultilevel"/>
    <w:tmpl w:val="21DE9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5A8B41D1"/>
    <w:multiLevelType w:val="multilevel"/>
    <w:tmpl w:val="52F2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0" w15:restartNumberingAfterBreak="0">
    <w:nsid w:val="60FA31FF"/>
    <w:multiLevelType w:val="multilevel"/>
    <w:tmpl w:val="9D94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2"/>
  </w:num>
  <w:num w:numId="2" w16cid:durableId="1899588878">
    <w:abstractNumId w:val="11"/>
  </w:num>
  <w:num w:numId="3" w16cid:durableId="126631044">
    <w:abstractNumId w:val="9"/>
  </w:num>
  <w:num w:numId="4" w16cid:durableId="14624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191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674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6189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7628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3099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4610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4394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893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954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009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916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7178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2808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695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5508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3203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204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411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7724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0567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96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8765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9070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6758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9862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386727">
    <w:abstractNumId w:val="4"/>
  </w:num>
  <w:num w:numId="31" w16cid:durableId="1933127344">
    <w:abstractNumId w:val="1"/>
  </w:num>
  <w:num w:numId="32" w16cid:durableId="1584223516">
    <w:abstractNumId w:val="8"/>
  </w:num>
  <w:num w:numId="33" w16cid:durableId="818769355">
    <w:abstractNumId w:val="9"/>
  </w:num>
  <w:num w:numId="34" w16cid:durableId="167642332">
    <w:abstractNumId w:val="10"/>
    <w:lvlOverride w:ilvl="0">
      <w:startOverride w:val="118"/>
    </w:lvlOverride>
  </w:num>
  <w:num w:numId="35" w16cid:durableId="1526943034">
    <w:abstractNumId w:val="9"/>
  </w:num>
  <w:num w:numId="36" w16cid:durableId="45957048">
    <w:abstractNumId w:val="9"/>
  </w:num>
  <w:num w:numId="37" w16cid:durableId="638455475">
    <w:abstractNumId w:val="9"/>
  </w:num>
  <w:num w:numId="38" w16cid:durableId="1653291005">
    <w:abstractNumId w:val="3"/>
  </w:num>
  <w:num w:numId="39" w16cid:durableId="1484663438">
    <w:abstractNumId w:val="6"/>
  </w:num>
  <w:num w:numId="40" w16cid:durableId="124526165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B38"/>
    <w:rsid w:val="00000CBE"/>
    <w:rsid w:val="000022CE"/>
    <w:rsid w:val="000022F4"/>
    <w:rsid w:val="0000237F"/>
    <w:rsid w:val="00002566"/>
    <w:rsid w:val="00002D40"/>
    <w:rsid w:val="00002E3F"/>
    <w:rsid w:val="00005888"/>
    <w:rsid w:val="00005F2B"/>
    <w:rsid w:val="000060EF"/>
    <w:rsid w:val="000065F3"/>
    <w:rsid w:val="00007871"/>
    <w:rsid w:val="000109F9"/>
    <w:rsid w:val="00010E39"/>
    <w:rsid w:val="00011F67"/>
    <w:rsid w:val="0001321B"/>
    <w:rsid w:val="0001353E"/>
    <w:rsid w:val="000136E0"/>
    <w:rsid w:val="00013E9C"/>
    <w:rsid w:val="00014A73"/>
    <w:rsid w:val="00016934"/>
    <w:rsid w:val="00016E14"/>
    <w:rsid w:val="0001765F"/>
    <w:rsid w:val="0002023F"/>
    <w:rsid w:val="0002064B"/>
    <w:rsid w:val="0002087A"/>
    <w:rsid w:val="000211B1"/>
    <w:rsid w:val="00021629"/>
    <w:rsid w:val="00021635"/>
    <w:rsid w:val="0002295A"/>
    <w:rsid w:val="00022CF4"/>
    <w:rsid w:val="00022F75"/>
    <w:rsid w:val="00022FEF"/>
    <w:rsid w:val="00023AC0"/>
    <w:rsid w:val="00024BE4"/>
    <w:rsid w:val="00024D41"/>
    <w:rsid w:val="000253D6"/>
    <w:rsid w:val="00025511"/>
    <w:rsid w:val="000257EF"/>
    <w:rsid w:val="00025A71"/>
    <w:rsid w:val="00025DCA"/>
    <w:rsid w:val="00025FC5"/>
    <w:rsid w:val="000261A2"/>
    <w:rsid w:val="00026240"/>
    <w:rsid w:val="000266BF"/>
    <w:rsid w:val="00027C6B"/>
    <w:rsid w:val="00027DBD"/>
    <w:rsid w:val="00030C97"/>
    <w:rsid w:val="000314DD"/>
    <w:rsid w:val="0003221C"/>
    <w:rsid w:val="000323BB"/>
    <w:rsid w:val="000324DF"/>
    <w:rsid w:val="00032F0F"/>
    <w:rsid w:val="00032F44"/>
    <w:rsid w:val="000331D2"/>
    <w:rsid w:val="00033780"/>
    <w:rsid w:val="0003526B"/>
    <w:rsid w:val="00035A54"/>
    <w:rsid w:val="00036DBD"/>
    <w:rsid w:val="000373EC"/>
    <w:rsid w:val="00037772"/>
    <w:rsid w:val="00037C88"/>
    <w:rsid w:val="00037FA0"/>
    <w:rsid w:val="00040A04"/>
    <w:rsid w:val="00042093"/>
    <w:rsid w:val="00042727"/>
    <w:rsid w:val="0004294F"/>
    <w:rsid w:val="0004299A"/>
    <w:rsid w:val="00042EE8"/>
    <w:rsid w:val="0004309F"/>
    <w:rsid w:val="00043409"/>
    <w:rsid w:val="000440C6"/>
    <w:rsid w:val="00044192"/>
    <w:rsid w:val="00045AC7"/>
    <w:rsid w:val="00045D63"/>
    <w:rsid w:val="00045DB0"/>
    <w:rsid w:val="00046013"/>
    <w:rsid w:val="000464BA"/>
    <w:rsid w:val="000467A2"/>
    <w:rsid w:val="00046B99"/>
    <w:rsid w:val="00046C1B"/>
    <w:rsid w:val="00046CEC"/>
    <w:rsid w:val="00047002"/>
    <w:rsid w:val="00047095"/>
    <w:rsid w:val="000477FF"/>
    <w:rsid w:val="00047D57"/>
    <w:rsid w:val="00047EB3"/>
    <w:rsid w:val="00050170"/>
    <w:rsid w:val="00050990"/>
    <w:rsid w:val="00051756"/>
    <w:rsid w:val="00051DDB"/>
    <w:rsid w:val="00051FFA"/>
    <w:rsid w:val="0005278C"/>
    <w:rsid w:val="00054187"/>
    <w:rsid w:val="00054242"/>
    <w:rsid w:val="00054310"/>
    <w:rsid w:val="00054D85"/>
    <w:rsid w:val="00055EB0"/>
    <w:rsid w:val="0005601B"/>
    <w:rsid w:val="0005603A"/>
    <w:rsid w:val="00056B72"/>
    <w:rsid w:val="00056E54"/>
    <w:rsid w:val="000576C2"/>
    <w:rsid w:val="00057B7C"/>
    <w:rsid w:val="0006020C"/>
    <w:rsid w:val="00061384"/>
    <w:rsid w:val="00061428"/>
    <w:rsid w:val="00061584"/>
    <w:rsid w:val="000618DA"/>
    <w:rsid w:val="000636C7"/>
    <w:rsid w:val="00063780"/>
    <w:rsid w:val="00064C35"/>
    <w:rsid w:val="00064F23"/>
    <w:rsid w:val="00066477"/>
    <w:rsid w:val="00066A1C"/>
    <w:rsid w:val="00066CF9"/>
    <w:rsid w:val="000706E9"/>
    <w:rsid w:val="00070B43"/>
    <w:rsid w:val="00070B6A"/>
    <w:rsid w:val="00070BF4"/>
    <w:rsid w:val="000711B2"/>
    <w:rsid w:val="0007215B"/>
    <w:rsid w:val="00072A51"/>
    <w:rsid w:val="0007315B"/>
    <w:rsid w:val="0007326D"/>
    <w:rsid w:val="00073CBD"/>
    <w:rsid w:val="00073D24"/>
    <w:rsid w:val="00074040"/>
    <w:rsid w:val="00074084"/>
    <w:rsid w:val="00074349"/>
    <w:rsid w:val="000747A8"/>
    <w:rsid w:val="00075282"/>
    <w:rsid w:val="000757C6"/>
    <w:rsid w:val="000758D4"/>
    <w:rsid w:val="00077044"/>
    <w:rsid w:val="000801F4"/>
    <w:rsid w:val="00080387"/>
    <w:rsid w:val="0008056D"/>
    <w:rsid w:val="00080812"/>
    <w:rsid w:val="00080B1E"/>
    <w:rsid w:val="0008114F"/>
    <w:rsid w:val="0008136A"/>
    <w:rsid w:val="00081AE2"/>
    <w:rsid w:val="00082114"/>
    <w:rsid w:val="0008279D"/>
    <w:rsid w:val="000834AF"/>
    <w:rsid w:val="00084346"/>
    <w:rsid w:val="00084C39"/>
    <w:rsid w:val="000850C6"/>
    <w:rsid w:val="00086942"/>
    <w:rsid w:val="00086C06"/>
    <w:rsid w:val="00086C22"/>
    <w:rsid w:val="00087035"/>
    <w:rsid w:val="000919CC"/>
    <w:rsid w:val="00091B1D"/>
    <w:rsid w:val="000936BE"/>
    <w:rsid w:val="00093A95"/>
    <w:rsid w:val="0009422B"/>
    <w:rsid w:val="000942B2"/>
    <w:rsid w:val="000944A4"/>
    <w:rsid w:val="000950F9"/>
    <w:rsid w:val="00096009"/>
    <w:rsid w:val="000966CE"/>
    <w:rsid w:val="00096EA8"/>
    <w:rsid w:val="00096FB2"/>
    <w:rsid w:val="00097902"/>
    <w:rsid w:val="00097CEC"/>
    <w:rsid w:val="000A0BBF"/>
    <w:rsid w:val="000A1AD6"/>
    <w:rsid w:val="000A2763"/>
    <w:rsid w:val="000A4082"/>
    <w:rsid w:val="000A46CD"/>
    <w:rsid w:val="000A4A7A"/>
    <w:rsid w:val="000A4BD6"/>
    <w:rsid w:val="000A4BF9"/>
    <w:rsid w:val="000A4CE2"/>
    <w:rsid w:val="000A5F32"/>
    <w:rsid w:val="000A66EF"/>
    <w:rsid w:val="000A68DB"/>
    <w:rsid w:val="000A6ACB"/>
    <w:rsid w:val="000A712F"/>
    <w:rsid w:val="000A7168"/>
    <w:rsid w:val="000A7204"/>
    <w:rsid w:val="000A7303"/>
    <w:rsid w:val="000A7AD7"/>
    <w:rsid w:val="000B0399"/>
    <w:rsid w:val="000B09BC"/>
    <w:rsid w:val="000B0DD5"/>
    <w:rsid w:val="000B11DF"/>
    <w:rsid w:val="000B11E1"/>
    <w:rsid w:val="000B1867"/>
    <w:rsid w:val="000B2965"/>
    <w:rsid w:val="000B29D5"/>
    <w:rsid w:val="000B346C"/>
    <w:rsid w:val="000B3F4A"/>
    <w:rsid w:val="000B413C"/>
    <w:rsid w:val="000B4F11"/>
    <w:rsid w:val="000B6216"/>
    <w:rsid w:val="000B673D"/>
    <w:rsid w:val="000B689D"/>
    <w:rsid w:val="000B6931"/>
    <w:rsid w:val="000B6D5B"/>
    <w:rsid w:val="000B71DE"/>
    <w:rsid w:val="000C019E"/>
    <w:rsid w:val="000C03A0"/>
    <w:rsid w:val="000C069A"/>
    <w:rsid w:val="000C06B5"/>
    <w:rsid w:val="000C091A"/>
    <w:rsid w:val="000C0D87"/>
    <w:rsid w:val="000C0D8E"/>
    <w:rsid w:val="000C215B"/>
    <w:rsid w:val="000C3441"/>
    <w:rsid w:val="000C36D0"/>
    <w:rsid w:val="000C39D5"/>
    <w:rsid w:val="000C4287"/>
    <w:rsid w:val="000C479F"/>
    <w:rsid w:val="000C529D"/>
    <w:rsid w:val="000C5660"/>
    <w:rsid w:val="000C634C"/>
    <w:rsid w:val="000C65C3"/>
    <w:rsid w:val="000C74D6"/>
    <w:rsid w:val="000C7E48"/>
    <w:rsid w:val="000D01E9"/>
    <w:rsid w:val="000D1A81"/>
    <w:rsid w:val="000D2FC2"/>
    <w:rsid w:val="000D39D4"/>
    <w:rsid w:val="000D4A39"/>
    <w:rsid w:val="000D5136"/>
    <w:rsid w:val="000D6FC2"/>
    <w:rsid w:val="000E000F"/>
    <w:rsid w:val="000E073D"/>
    <w:rsid w:val="000E1552"/>
    <w:rsid w:val="000E16F7"/>
    <w:rsid w:val="000E1846"/>
    <w:rsid w:val="000E18ED"/>
    <w:rsid w:val="000E1B2A"/>
    <w:rsid w:val="000E20D5"/>
    <w:rsid w:val="000E29E9"/>
    <w:rsid w:val="000E2A40"/>
    <w:rsid w:val="000E2D07"/>
    <w:rsid w:val="000E33E4"/>
    <w:rsid w:val="000E55B6"/>
    <w:rsid w:val="000E56A0"/>
    <w:rsid w:val="000E7D7A"/>
    <w:rsid w:val="000F0932"/>
    <w:rsid w:val="000F0B74"/>
    <w:rsid w:val="000F1234"/>
    <w:rsid w:val="000F27F7"/>
    <w:rsid w:val="000F2E8C"/>
    <w:rsid w:val="000F31FB"/>
    <w:rsid w:val="000F3F02"/>
    <w:rsid w:val="000F3FAE"/>
    <w:rsid w:val="000F59CE"/>
    <w:rsid w:val="000F6863"/>
    <w:rsid w:val="000F68A8"/>
    <w:rsid w:val="000F68B3"/>
    <w:rsid w:val="000F6904"/>
    <w:rsid w:val="000F6EB6"/>
    <w:rsid w:val="000F7085"/>
    <w:rsid w:val="000F777B"/>
    <w:rsid w:val="000F78A4"/>
    <w:rsid w:val="001001C2"/>
    <w:rsid w:val="001004AE"/>
    <w:rsid w:val="00100C6F"/>
    <w:rsid w:val="00101E01"/>
    <w:rsid w:val="001027A3"/>
    <w:rsid w:val="00102980"/>
    <w:rsid w:val="00102B06"/>
    <w:rsid w:val="00103D05"/>
    <w:rsid w:val="00103F19"/>
    <w:rsid w:val="0010452C"/>
    <w:rsid w:val="001047FE"/>
    <w:rsid w:val="00104E44"/>
    <w:rsid w:val="0010673B"/>
    <w:rsid w:val="001101E3"/>
    <w:rsid w:val="00110712"/>
    <w:rsid w:val="00110B1D"/>
    <w:rsid w:val="00110BED"/>
    <w:rsid w:val="001111F3"/>
    <w:rsid w:val="00111220"/>
    <w:rsid w:val="00111746"/>
    <w:rsid w:val="001119B8"/>
    <w:rsid w:val="00111C21"/>
    <w:rsid w:val="0011200D"/>
    <w:rsid w:val="00113378"/>
    <w:rsid w:val="0011345D"/>
    <w:rsid w:val="00113A58"/>
    <w:rsid w:val="00114CBC"/>
    <w:rsid w:val="00115177"/>
    <w:rsid w:val="00115356"/>
    <w:rsid w:val="001156A0"/>
    <w:rsid w:val="00115B2A"/>
    <w:rsid w:val="00115B39"/>
    <w:rsid w:val="001162A1"/>
    <w:rsid w:val="00116B96"/>
    <w:rsid w:val="00116E97"/>
    <w:rsid w:val="00116EF7"/>
    <w:rsid w:val="0011702A"/>
    <w:rsid w:val="00117A17"/>
    <w:rsid w:val="0012036E"/>
    <w:rsid w:val="001204B7"/>
    <w:rsid w:val="00120565"/>
    <w:rsid w:val="00120B38"/>
    <w:rsid w:val="00121BCF"/>
    <w:rsid w:val="001225F8"/>
    <w:rsid w:val="00122E25"/>
    <w:rsid w:val="00122F5B"/>
    <w:rsid w:val="00123143"/>
    <w:rsid w:val="00124221"/>
    <w:rsid w:val="001249E2"/>
    <w:rsid w:val="00125391"/>
    <w:rsid w:val="00125495"/>
    <w:rsid w:val="00125C42"/>
    <w:rsid w:val="001263FF"/>
    <w:rsid w:val="00126F99"/>
    <w:rsid w:val="00127B0D"/>
    <w:rsid w:val="00130E5A"/>
    <w:rsid w:val="00130F05"/>
    <w:rsid w:val="00131DAA"/>
    <w:rsid w:val="001323B7"/>
    <w:rsid w:val="00133DD3"/>
    <w:rsid w:val="0013466C"/>
    <w:rsid w:val="00134B3F"/>
    <w:rsid w:val="00136EE4"/>
    <w:rsid w:val="0013731E"/>
    <w:rsid w:val="001400E7"/>
    <w:rsid w:val="00140A0E"/>
    <w:rsid w:val="00141AAA"/>
    <w:rsid w:val="0014424F"/>
    <w:rsid w:val="00144CF9"/>
    <w:rsid w:val="00144D30"/>
    <w:rsid w:val="001451A3"/>
    <w:rsid w:val="00145304"/>
    <w:rsid w:val="0014538C"/>
    <w:rsid w:val="00145A2F"/>
    <w:rsid w:val="00145B53"/>
    <w:rsid w:val="00145CD7"/>
    <w:rsid w:val="00146EE9"/>
    <w:rsid w:val="001472D7"/>
    <w:rsid w:val="0014740C"/>
    <w:rsid w:val="00147734"/>
    <w:rsid w:val="00147981"/>
    <w:rsid w:val="00147B57"/>
    <w:rsid w:val="0015020D"/>
    <w:rsid w:val="0015029C"/>
    <w:rsid w:val="0015093C"/>
    <w:rsid w:val="00151962"/>
    <w:rsid w:val="00151BBA"/>
    <w:rsid w:val="00151E8F"/>
    <w:rsid w:val="001526B7"/>
    <w:rsid w:val="001532B1"/>
    <w:rsid w:val="001534EE"/>
    <w:rsid w:val="00153BA5"/>
    <w:rsid w:val="0015487C"/>
    <w:rsid w:val="001548F5"/>
    <w:rsid w:val="001556A0"/>
    <w:rsid w:val="0015654C"/>
    <w:rsid w:val="0015689C"/>
    <w:rsid w:val="001579C6"/>
    <w:rsid w:val="00157F21"/>
    <w:rsid w:val="00160101"/>
    <w:rsid w:val="001615FD"/>
    <w:rsid w:val="001625F5"/>
    <w:rsid w:val="00163022"/>
    <w:rsid w:val="0016524D"/>
    <w:rsid w:val="00165876"/>
    <w:rsid w:val="0016760B"/>
    <w:rsid w:val="001678FE"/>
    <w:rsid w:val="00170361"/>
    <w:rsid w:val="0017046B"/>
    <w:rsid w:val="001708A1"/>
    <w:rsid w:val="00170965"/>
    <w:rsid w:val="00171584"/>
    <w:rsid w:val="00172425"/>
    <w:rsid w:val="001728DD"/>
    <w:rsid w:val="00172C84"/>
    <w:rsid w:val="001733DB"/>
    <w:rsid w:val="0017347F"/>
    <w:rsid w:val="001738E7"/>
    <w:rsid w:val="00173D9A"/>
    <w:rsid w:val="00173F4F"/>
    <w:rsid w:val="00174876"/>
    <w:rsid w:val="00174B7E"/>
    <w:rsid w:val="0017557F"/>
    <w:rsid w:val="00175592"/>
    <w:rsid w:val="00175D14"/>
    <w:rsid w:val="00176FC1"/>
    <w:rsid w:val="00177389"/>
    <w:rsid w:val="00177D2C"/>
    <w:rsid w:val="001801EA"/>
    <w:rsid w:val="001802EB"/>
    <w:rsid w:val="0018260F"/>
    <w:rsid w:val="001826AD"/>
    <w:rsid w:val="00182A5F"/>
    <w:rsid w:val="00182B61"/>
    <w:rsid w:val="001838CA"/>
    <w:rsid w:val="00184861"/>
    <w:rsid w:val="00184DF9"/>
    <w:rsid w:val="001853D0"/>
    <w:rsid w:val="001857D8"/>
    <w:rsid w:val="00185B4D"/>
    <w:rsid w:val="00186412"/>
    <w:rsid w:val="00186632"/>
    <w:rsid w:val="001870B7"/>
    <w:rsid w:val="00187204"/>
    <w:rsid w:val="001877B0"/>
    <w:rsid w:val="0019021F"/>
    <w:rsid w:val="0019026A"/>
    <w:rsid w:val="001904EB"/>
    <w:rsid w:val="00190D0E"/>
    <w:rsid w:val="00191063"/>
    <w:rsid w:val="001910CE"/>
    <w:rsid w:val="00191168"/>
    <w:rsid w:val="00191A99"/>
    <w:rsid w:val="001924D7"/>
    <w:rsid w:val="0019297C"/>
    <w:rsid w:val="00192AA9"/>
    <w:rsid w:val="00192F07"/>
    <w:rsid w:val="00194DAE"/>
    <w:rsid w:val="00194FD2"/>
    <w:rsid w:val="00194FF4"/>
    <w:rsid w:val="00195B28"/>
    <w:rsid w:val="00195F42"/>
    <w:rsid w:val="00196B8C"/>
    <w:rsid w:val="00197D10"/>
    <w:rsid w:val="001A0AA5"/>
    <w:rsid w:val="001A0C1B"/>
    <w:rsid w:val="001A10B2"/>
    <w:rsid w:val="001A1B28"/>
    <w:rsid w:val="001A1B65"/>
    <w:rsid w:val="001A2062"/>
    <w:rsid w:val="001A2CFE"/>
    <w:rsid w:val="001A4028"/>
    <w:rsid w:val="001A4597"/>
    <w:rsid w:val="001A4765"/>
    <w:rsid w:val="001A572B"/>
    <w:rsid w:val="001A5769"/>
    <w:rsid w:val="001A5A1D"/>
    <w:rsid w:val="001A5BE4"/>
    <w:rsid w:val="001A60AB"/>
    <w:rsid w:val="001A6BEB"/>
    <w:rsid w:val="001A6FB3"/>
    <w:rsid w:val="001A6FE7"/>
    <w:rsid w:val="001A73D2"/>
    <w:rsid w:val="001A7A75"/>
    <w:rsid w:val="001A7BC1"/>
    <w:rsid w:val="001B0865"/>
    <w:rsid w:val="001B0974"/>
    <w:rsid w:val="001B1143"/>
    <w:rsid w:val="001B2599"/>
    <w:rsid w:val="001B282B"/>
    <w:rsid w:val="001B2921"/>
    <w:rsid w:val="001B2F56"/>
    <w:rsid w:val="001B36C9"/>
    <w:rsid w:val="001B3C8F"/>
    <w:rsid w:val="001B41BC"/>
    <w:rsid w:val="001B6529"/>
    <w:rsid w:val="001B696F"/>
    <w:rsid w:val="001B72F0"/>
    <w:rsid w:val="001B7312"/>
    <w:rsid w:val="001C1261"/>
    <w:rsid w:val="001C30E0"/>
    <w:rsid w:val="001C3CE6"/>
    <w:rsid w:val="001C3FA5"/>
    <w:rsid w:val="001C454A"/>
    <w:rsid w:val="001C571E"/>
    <w:rsid w:val="001C5990"/>
    <w:rsid w:val="001C5CB9"/>
    <w:rsid w:val="001C666D"/>
    <w:rsid w:val="001C66E1"/>
    <w:rsid w:val="001C73BD"/>
    <w:rsid w:val="001C759B"/>
    <w:rsid w:val="001C7A51"/>
    <w:rsid w:val="001D04E7"/>
    <w:rsid w:val="001D120D"/>
    <w:rsid w:val="001D1E42"/>
    <w:rsid w:val="001D2299"/>
    <w:rsid w:val="001D239A"/>
    <w:rsid w:val="001D3110"/>
    <w:rsid w:val="001D36CC"/>
    <w:rsid w:val="001D3B14"/>
    <w:rsid w:val="001D486A"/>
    <w:rsid w:val="001D504E"/>
    <w:rsid w:val="001D57BD"/>
    <w:rsid w:val="001D5AC1"/>
    <w:rsid w:val="001D5B98"/>
    <w:rsid w:val="001D5D7A"/>
    <w:rsid w:val="001D63AC"/>
    <w:rsid w:val="001D6AE3"/>
    <w:rsid w:val="001D70EE"/>
    <w:rsid w:val="001D78C1"/>
    <w:rsid w:val="001D79BD"/>
    <w:rsid w:val="001E0276"/>
    <w:rsid w:val="001E03F3"/>
    <w:rsid w:val="001E0976"/>
    <w:rsid w:val="001E16E0"/>
    <w:rsid w:val="001E1EAD"/>
    <w:rsid w:val="001E1FE8"/>
    <w:rsid w:val="001E250D"/>
    <w:rsid w:val="001E2D7F"/>
    <w:rsid w:val="001E2DD0"/>
    <w:rsid w:val="001E2FA9"/>
    <w:rsid w:val="001E3773"/>
    <w:rsid w:val="001E39A5"/>
    <w:rsid w:val="001E3C54"/>
    <w:rsid w:val="001E6689"/>
    <w:rsid w:val="001E79B1"/>
    <w:rsid w:val="001F0045"/>
    <w:rsid w:val="001F0918"/>
    <w:rsid w:val="001F0F00"/>
    <w:rsid w:val="001F10AB"/>
    <w:rsid w:val="001F118C"/>
    <w:rsid w:val="001F200F"/>
    <w:rsid w:val="001F2462"/>
    <w:rsid w:val="001F2B35"/>
    <w:rsid w:val="001F2DAD"/>
    <w:rsid w:val="001F3449"/>
    <w:rsid w:val="001F3755"/>
    <w:rsid w:val="001F3766"/>
    <w:rsid w:val="001F43FE"/>
    <w:rsid w:val="001F4A39"/>
    <w:rsid w:val="001F4CE1"/>
    <w:rsid w:val="001F519D"/>
    <w:rsid w:val="001F5A39"/>
    <w:rsid w:val="001F7E47"/>
    <w:rsid w:val="0020061A"/>
    <w:rsid w:val="0020061C"/>
    <w:rsid w:val="00200BCF"/>
    <w:rsid w:val="002010D9"/>
    <w:rsid w:val="002012DB"/>
    <w:rsid w:val="002022E5"/>
    <w:rsid w:val="00202A9B"/>
    <w:rsid w:val="00203A32"/>
    <w:rsid w:val="00205205"/>
    <w:rsid w:val="002057FC"/>
    <w:rsid w:val="002061CD"/>
    <w:rsid w:val="00206806"/>
    <w:rsid w:val="00206D53"/>
    <w:rsid w:val="0020716E"/>
    <w:rsid w:val="00207B71"/>
    <w:rsid w:val="00207B99"/>
    <w:rsid w:val="002106F8"/>
    <w:rsid w:val="00211FFB"/>
    <w:rsid w:val="002127AF"/>
    <w:rsid w:val="00212B34"/>
    <w:rsid w:val="00212B61"/>
    <w:rsid w:val="00213870"/>
    <w:rsid w:val="00213BC9"/>
    <w:rsid w:val="00213C31"/>
    <w:rsid w:val="00213FD9"/>
    <w:rsid w:val="0021425E"/>
    <w:rsid w:val="00214B46"/>
    <w:rsid w:val="00215913"/>
    <w:rsid w:val="002159BB"/>
    <w:rsid w:val="00216B90"/>
    <w:rsid w:val="00216C07"/>
    <w:rsid w:val="002171FD"/>
    <w:rsid w:val="00217733"/>
    <w:rsid w:val="00217C03"/>
    <w:rsid w:val="002202DA"/>
    <w:rsid w:val="002205B8"/>
    <w:rsid w:val="0022076F"/>
    <w:rsid w:val="00221666"/>
    <w:rsid w:val="00221673"/>
    <w:rsid w:val="00222120"/>
    <w:rsid w:val="00222346"/>
    <w:rsid w:val="00222488"/>
    <w:rsid w:val="00222948"/>
    <w:rsid w:val="00223D05"/>
    <w:rsid w:val="00224309"/>
    <w:rsid w:val="002243FE"/>
    <w:rsid w:val="00224689"/>
    <w:rsid w:val="0022593D"/>
    <w:rsid w:val="002260FC"/>
    <w:rsid w:val="00226783"/>
    <w:rsid w:val="0022774C"/>
    <w:rsid w:val="00230077"/>
    <w:rsid w:val="002318E5"/>
    <w:rsid w:val="00231A38"/>
    <w:rsid w:val="00231B6F"/>
    <w:rsid w:val="00231C0C"/>
    <w:rsid w:val="00232B1C"/>
    <w:rsid w:val="00232B47"/>
    <w:rsid w:val="00233CF6"/>
    <w:rsid w:val="00233EAB"/>
    <w:rsid w:val="00234680"/>
    <w:rsid w:val="0023507E"/>
    <w:rsid w:val="002351F0"/>
    <w:rsid w:val="002353D5"/>
    <w:rsid w:val="00235624"/>
    <w:rsid w:val="002358E4"/>
    <w:rsid w:val="00235CA3"/>
    <w:rsid w:val="0023657A"/>
    <w:rsid w:val="002366A2"/>
    <w:rsid w:val="00236CCA"/>
    <w:rsid w:val="00236D42"/>
    <w:rsid w:val="00237B0F"/>
    <w:rsid w:val="00240000"/>
    <w:rsid w:val="002405A5"/>
    <w:rsid w:val="00241C8F"/>
    <w:rsid w:val="00241DF0"/>
    <w:rsid w:val="002425D9"/>
    <w:rsid w:val="00243AA6"/>
    <w:rsid w:val="00243B45"/>
    <w:rsid w:val="00245099"/>
    <w:rsid w:val="002462BA"/>
    <w:rsid w:val="00246C2B"/>
    <w:rsid w:val="00246D79"/>
    <w:rsid w:val="00247094"/>
    <w:rsid w:val="002470C0"/>
    <w:rsid w:val="002511D8"/>
    <w:rsid w:val="00251A0A"/>
    <w:rsid w:val="00251B13"/>
    <w:rsid w:val="002521DF"/>
    <w:rsid w:val="002532B4"/>
    <w:rsid w:val="00253449"/>
    <w:rsid w:val="002548A5"/>
    <w:rsid w:val="00254BC9"/>
    <w:rsid w:val="00254EE4"/>
    <w:rsid w:val="002550D4"/>
    <w:rsid w:val="0025644A"/>
    <w:rsid w:val="002565C7"/>
    <w:rsid w:val="00256B5D"/>
    <w:rsid w:val="00256EF1"/>
    <w:rsid w:val="00256F1E"/>
    <w:rsid w:val="00257273"/>
    <w:rsid w:val="0025789B"/>
    <w:rsid w:val="0025789F"/>
    <w:rsid w:val="00257B56"/>
    <w:rsid w:val="00261096"/>
    <w:rsid w:val="00261996"/>
    <w:rsid w:val="00261F01"/>
    <w:rsid w:val="0026241C"/>
    <w:rsid w:val="002659CF"/>
    <w:rsid w:val="00265B59"/>
    <w:rsid w:val="00266C90"/>
    <w:rsid w:val="00266E1A"/>
    <w:rsid w:val="00267BB8"/>
    <w:rsid w:val="00270D24"/>
    <w:rsid w:val="00270DDE"/>
    <w:rsid w:val="00271192"/>
    <w:rsid w:val="0027146C"/>
    <w:rsid w:val="00271A47"/>
    <w:rsid w:val="00273105"/>
    <w:rsid w:val="00273201"/>
    <w:rsid w:val="00273612"/>
    <w:rsid w:val="00274741"/>
    <w:rsid w:val="0027510F"/>
    <w:rsid w:val="0027518E"/>
    <w:rsid w:val="00275444"/>
    <w:rsid w:val="00275671"/>
    <w:rsid w:val="002764EB"/>
    <w:rsid w:val="00276D03"/>
    <w:rsid w:val="0027724A"/>
    <w:rsid w:val="00280281"/>
    <w:rsid w:val="002803CF"/>
    <w:rsid w:val="00280737"/>
    <w:rsid w:val="002810DC"/>
    <w:rsid w:val="0028166C"/>
    <w:rsid w:val="00282358"/>
    <w:rsid w:val="00282BF3"/>
    <w:rsid w:val="00282FAC"/>
    <w:rsid w:val="002836C2"/>
    <w:rsid w:val="0028412F"/>
    <w:rsid w:val="00284939"/>
    <w:rsid w:val="002850B8"/>
    <w:rsid w:val="002857B2"/>
    <w:rsid w:val="00285820"/>
    <w:rsid w:val="00286069"/>
    <w:rsid w:val="00286161"/>
    <w:rsid w:val="00286312"/>
    <w:rsid w:val="00286A0D"/>
    <w:rsid w:val="00286C00"/>
    <w:rsid w:val="00290830"/>
    <w:rsid w:val="002909B3"/>
    <w:rsid w:val="00290AC3"/>
    <w:rsid w:val="00290AE8"/>
    <w:rsid w:val="00290B59"/>
    <w:rsid w:val="00291723"/>
    <w:rsid w:val="002927CB"/>
    <w:rsid w:val="00292D71"/>
    <w:rsid w:val="00292FD5"/>
    <w:rsid w:val="002936A5"/>
    <w:rsid w:val="00293A18"/>
    <w:rsid w:val="00293F42"/>
    <w:rsid w:val="002942A1"/>
    <w:rsid w:val="00294918"/>
    <w:rsid w:val="0029532E"/>
    <w:rsid w:val="002957D9"/>
    <w:rsid w:val="0029590A"/>
    <w:rsid w:val="00295A13"/>
    <w:rsid w:val="00295D77"/>
    <w:rsid w:val="00297498"/>
    <w:rsid w:val="00297FA5"/>
    <w:rsid w:val="002A0385"/>
    <w:rsid w:val="002A0BBF"/>
    <w:rsid w:val="002A13C4"/>
    <w:rsid w:val="002A1AFE"/>
    <w:rsid w:val="002A1CE6"/>
    <w:rsid w:val="002A2C23"/>
    <w:rsid w:val="002A515D"/>
    <w:rsid w:val="002A5417"/>
    <w:rsid w:val="002A6AE9"/>
    <w:rsid w:val="002A7506"/>
    <w:rsid w:val="002A792C"/>
    <w:rsid w:val="002B016D"/>
    <w:rsid w:val="002B0FC6"/>
    <w:rsid w:val="002B159F"/>
    <w:rsid w:val="002B1785"/>
    <w:rsid w:val="002B2863"/>
    <w:rsid w:val="002B29A2"/>
    <w:rsid w:val="002B3476"/>
    <w:rsid w:val="002B34D1"/>
    <w:rsid w:val="002B3B4A"/>
    <w:rsid w:val="002B483F"/>
    <w:rsid w:val="002B5520"/>
    <w:rsid w:val="002B5CE6"/>
    <w:rsid w:val="002B5EE6"/>
    <w:rsid w:val="002B610A"/>
    <w:rsid w:val="002B6C3C"/>
    <w:rsid w:val="002B6DDC"/>
    <w:rsid w:val="002B6E72"/>
    <w:rsid w:val="002B7065"/>
    <w:rsid w:val="002B73F9"/>
    <w:rsid w:val="002C09A0"/>
    <w:rsid w:val="002C196F"/>
    <w:rsid w:val="002C1DB3"/>
    <w:rsid w:val="002C2097"/>
    <w:rsid w:val="002C3601"/>
    <w:rsid w:val="002C3B0D"/>
    <w:rsid w:val="002C4492"/>
    <w:rsid w:val="002C4787"/>
    <w:rsid w:val="002C4F2F"/>
    <w:rsid w:val="002C540E"/>
    <w:rsid w:val="002C556A"/>
    <w:rsid w:val="002C5AE2"/>
    <w:rsid w:val="002C5F4E"/>
    <w:rsid w:val="002C601D"/>
    <w:rsid w:val="002C6636"/>
    <w:rsid w:val="002C6672"/>
    <w:rsid w:val="002C7EE1"/>
    <w:rsid w:val="002D1039"/>
    <w:rsid w:val="002D134B"/>
    <w:rsid w:val="002D1616"/>
    <w:rsid w:val="002D2C8D"/>
    <w:rsid w:val="002D2E7B"/>
    <w:rsid w:val="002D3BE8"/>
    <w:rsid w:val="002D3D25"/>
    <w:rsid w:val="002D405A"/>
    <w:rsid w:val="002D452D"/>
    <w:rsid w:val="002D493A"/>
    <w:rsid w:val="002D4B2C"/>
    <w:rsid w:val="002D4E78"/>
    <w:rsid w:val="002D5397"/>
    <w:rsid w:val="002D574D"/>
    <w:rsid w:val="002D6344"/>
    <w:rsid w:val="002D64B0"/>
    <w:rsid w:val="002D65D6"/>
    <w:rsid w:val="002D693D"/>
    <w:rsid w:val="002D6AFF"/>
    <w:rsid w:val="002D72A3"/>
    <w:rsid w:val="002D775F"/>
    <w:rsid w:val="002D7C95"/>
    <w:rsid w:val="002D7DBD"/>
    <w:rsid w:val="002E0B9B"/>
    <w:rsid w:val="002E0DCB"/>
    <w:rsid w:val="002E13A2"/>
    <w:rsid w:val="002E2951"/>
    <w:rsid w:val="002E2A21"/>
    <w:rsid w:val="002E2B70"/>
    <w:rsid w:val="002E2F1A"/>
    <w:rsid w:val="002E3D5C"/>
    <w:rsid w:val="002E3D75"/>
    <w:rsid w:val="002E46EE"/>
    <w:rsid w:val="002E520D"/>
    <w:rsid w:val="002E5FA3"/>
    <w:rsid w:val="002E637F"/>
    <w:rsid w:val="002E6492"/>
    <w:rsid w:val="002E743E"/>
    <w:rsid w:val="002E771B"/>
    <w:rsid w:val="002E793F"/>
    <w:rsid w:val="002F06AA"/>
    <w:rsid w:val="002F1275"/>
    <w:rsid w:val="002F1D2E"/>
    <w:rsid w:val="002F2531"/>
    <w:rsid w:val="002F25BC"/>
    <w:rsid w:val="002F2605"/>
    <w:rsid w:val="002F2920"/>
    <w:rsid w:val="002F2AA2"/>
    <w:rsid w:val="002F3A39"/>
    <w:rsid w:val="002F402F"/>
    <w:rsid w:val="002F40F5"/>
    <w:rsid w:val="002F4571"/>
    <w:rsid w:val="002F54BD"/>
    <w:rsid w:val="002F54DF"/>
    <w:rsid w:val="002F5944"/>
    <w:rsid w:val="002F6330"/>
    <w:rsid w:val="002F638F"/>
    <w:rsid w:val="002F6648"/>
    <w:rsid w:val="002F6E37"/>
    <w:rsid w:val="002F70C9"/>
    <w:rsid w:val="002F7185"/>
    <w:rsid w:val="002F7817"/>
    <w:rsid w:val="002F7B52"/>
    <w:rsid w:val="002F7F22"/>
    <w:rsid w:val="002F7F93"/>
    <w:rsid w:val="003003A4"/>
    <w:rsid w:val="00301135"/>
    <w:rsid w:val="00301214"/>
    <w:rsid w:val="00301575"/>
    <w:rsid w:val="0030162C"/>
    <w:rsid w:val="00301934"/>
    <w:rsid w:val="00301F2D"/>
    <w:rsid w:val="00302045"/>
    <w:rsid w:val="00302F86"/>
    <w:rsid w:val="003037DF"/>
    <w:rsid w:val="00304C23"/>
    <w:rsid w:val="00306626"/>
    <w:rsid w:val="00306E04"/>
    <w:rsid w:val="00306F38"/>
    <w:rsid w:val="00307049"/>
    <w:rsid w:val="00307979"/>
    <w:rsid w:val="00307AF0"/>
    <w:rsid w:val="00310573"/>
    <w:rsid w:val="00310870"/>
    <w:rsid w:val="003108F4"/>
    <w:rsid w:val="00310BDB"/>
    <w:rsid w:val="003113E0"/>
    <w:rsid w:val="003117D1"/>
    <w:rsid w:val="003128E2"/>
    <w:rsid w:val="00313457"/>
    <w:rsid w:val="0031431D"/>
    <w:rsid w:val="003152B3"/>
    <w:rsid w:val="00315FC9"/>
    <w:rsid w:val="003200A2"/>
    <w:rsid w:val="003206D5"/>
    <w:rsid w:val="00320C6E"/>
    <w:rsid w:val="00320DB5"/>
    <w:rsid w:val="00320F92"/>
    <w:rsid w:val="003213BC"/>
    <w:rsid w:val="0032167C"/>
    <w:rsid w:val="0032169D"/>
    <w:rsid w:val="00321809"/>
    <w:rsid w:val="00321B9F"/>
    <w:rsid w:val="003237EF"/>
    <w:rsid w:val="00324246"/>
    <w:rsid w:val="00324E81"/>
    <w:rsid w:val="0032550F"/>
    <w:rsid w:val="003277C5"/>
    <w:rsid w:val="00327A9C"/>
    <w:rsid w:val="00327AE9"/>
    <w:rsid w:val="00330084"/>
    <w:rsid w:val="003306D5"/>
    <w:rsid w:val="0033161C"/>
    <w:rsid w:val="00332521"/>
    <w:rsid w:val="0033255F"/>
    <w:rsid w:val="00332FA6"/>
    <w:rsid w:val="00333C3D"/>
    <w:rsid w:val="0033468D"/>
    <w:rsid w:val="00334800"/>
    <w:rsid w:val="00334C16"/>
    <w:rsid w:val="00334E07"/>
    <w:rsid w:val="00335543"/>
    <w:rsid w:val="00336619"/>
    <w:rsid w:val="003366C8"/>
    <w:rsid w:val="003371CC"/>
    <w:rsid w:val="00337EA0"/>
    <w:rsid w:val="0034137F"/>
    <w:rsid w:val="00341774"/>
    <w:rsid w:val="00341C27"/>
    <w:rsid w:val="003420AE"/>
    <w:rsid w:val="003423DA"/>
    <w:rsid w:val="00342926"/>
    <w:rsid w:val="0034420D"/>
    <w:rsid w:val="003443DC"/>
    <w:rsid w:val="003444A0"/>
    <w:rsid w:val="00344BBC"/>
    <w:rsid w:val="00345199"/>
    <w:rsid w:val="00346143"/>
    <w:rsid w:val="003469ED"/>
    <w:rsid w:val="00346AE8"/>
    <w:rsid w:val="00347723"/>
    <w:rsid w:val="003478EE"/>
    <w:rsid w:val="00347CA5"/>
    <w:rsid w:val="003502B1"/>
    <w:rsid w:val="00350A61"/>
    <w:rsid w:val="00350E70"/>
    <w:rsid w:val="00351AB4"/>
    <w:rsid w:val="00351C28"/>
    <w:rsid w:val="00352C66"/>
    <w:rsid w:val="00352D31"/>
    <w:rsid w:val="00352FAA"/>
    <w:rsid w:val="00352FC6"/>
    <w:rsid w:val="00353099"/>
    <w:rsid w:val="003531B3"/>
    <w:rsid w:val="00353A84"/>
    <w:rsid w:val="003543BA"/>
    <w:rsid w:val="00355F56"/>
    <w:rsid w:val="00356009"/>
    <w:rsid w:val="00356D06"/>
    <w:rsid w:val="0035717A"/>
    <w:rsid w:val="00357E64"/>
    <w:rsid w:val="0036086C"/>
    <w:rsid w:val="003609AC"/>
    <w:rsid w:val="003610D7"/>
    <w:rsid w:val="00361CCA"/>
    <w:rsid w:val="0036320D"/>
    <w:rsid w:val="00364530"/>
    <w:rsid w:val="00364A6A"/>
    <w:rsid w:val="00364FAE"/>
    <w:rsid w:val="00365BB4"/>
    <w:rsid w:val="00366731"/>
    <w:rsid w:val="0036755B"/>
    <w:rsid w:val="0037006C"/>
    <w:rsid w:val="00370F8B"/>
    <w:rsid w:val="003717DA"/>
    <w:rsid w:val="00372404"/>
    <w:rsid w:val="00372A05"/>
    <w:rsid w:val="00372D01"/>
    <w:rsid w:val="00372F4B"/>
    <w:rsid w:val="003733AF"/>
    <w:rsid w:val="003740B5"/>
    <w:rsid w:val="003746E9"/>
    <w:rsid w:val="0037470A"/>
    <w:rsid w:val="003755A7"/>
    <w:rsid w:val="00376A26"/>
    <w:rsid w:val="003778D4"/>
    <w:rsid w:val="00377CDF"/>
    <w:rsid w:val="0038018C"/>
    <w:rsid w:val="003805CD"/>
    <w:rsid w:val="003806A3"/>
    <w:rsid w:val="00380E1D"/>
    <w:rsid w:val="003823D9"/>
    <w:rsid w:val="00382C19"/>
    <w:rsid w:val="00382ED2"/>
    <w:rsid w:val="003832D7"/>
    <w:rsid w:val="0038363E"/>
    <w:rsid w:val="0038382D"/>
    <w:rsid w:val="00384444"/>
    <w:rsid w:val="003848C1"/>
    <w:rsid w:val="00384C58"/>
    <w:rsid w:val="00384F8B"/>
    <w:rsid w:val="00385121"/>
    <w:rsid w:val="0038608A"/>
    <w:rsid w:val="003868D8"/>
    <w:rsid w:val="00386C30"/>
    <w:rsid w:val="0038713C"/>
    <w:rsid w:val="003909C4"/>
    <w:rsid w:val="00392AFE"/>
    <w:rsid w:val="00392CEB"/>
    <w:rsid w:val="00394443"/>
    <w:rsid w:val="00394B28"/>
    <w:rsid w:val="00395F64"/>
    <w:rsid w:val="003A1681"/>
    <w:rsid w:val="003A2669"/>
    <w:rsid w:val="003A2C09"/>
    <w:rsid w:val="003A3A77"/>
    <w:rsid w:val="003A3AA2"/>
    <w:rsid w:val="003A3FC1"/>
    <w:rsid w:val="003A4937"/>
    <w:rsid w:val="003A4F5E"/>
    <w:rsid w:val="003A5608"/>
    <w:rsid w:val="003A5698"/>
    <w:rsid w:val="003A5B90"/>
    <w:rsid w:val="003A5E94"/>
    <w:rsid w:val="003A5F59"/>
    <w:rsid w:val="003A7060"/>
    <w:rsid w:val="003A75EF"/>
    <w:rsid w:val="003A7FD0"/>
    <w:rsid w:val="003B049E"/>
    <w:rsid w:val="003B1436"/>
    <w:rsid w:val="003B20DE"/>
    <w:rsid w:val="003B28D5"/>
    <w:rsid w:val="003B34E5"/>
    <w:rsid w:val="003B3A27"/>
    <w:rsid w:val="003B403B"/>
    <w:rsid w:val="003B494C"/>
    <w:rsid w:val="003B4EF1"/>
    <w:rsid w:val="003B573A"/>
    <w:rsid w:val="003B5835"/>
    <w:rsid w:val="003B5BC2"/>
    <w:rsid w:val="003B5FCD"/>
    <w:rsid w:val="003B5FE0"/>
    <w:rsid w:val="003B6AD7"/>
    <w:rsid w:val="003B6F81"/>
    <w:rsid w:val="003B792C"/>
    <w:rsid w:val="003B7A1A"/>
    <w:rsid w:val="003C0E29"/>
    <w:rsid w:val="003C11ED"/>
    <w:rsid w:val="003C12E1"/>
    <w:rsid w:val="003C14BF"/>
    <w:rsid w:val="003C174B"/>
    <w:rsid w:val="003C1E48"/>
    <w:rsid w:val="003C1EBB"/>
    <w:rsid w:val="003C2C8B"/>
    <w:rsid w:val="003C2FE5"/>
    <w:rsid w:val="003C32E3"/>
    <w:rsid w:val="003C365C"/>
    <w:rsid w:val="003C3754"/>
    <w:rsid w:val="003C4139"/>
    <w:rsid w:val="003C4171"/>
    <w:rsid w:val="003C4D00"/>
    <w:rsid w:val="003C5EA1"/>
    <w:rsid w:val="003C5F82"/>
    <w:rsid w:val="003C6F82"/>
    <w:rsid w:val="003C731D"/>
    <w:rsid w:val="003C74D0"/>
    <w:rsid w:val="003C7B76"/>
    <w:rsid w:val="003D0013"/>
    <w:rsid w:val="003D09A2"/>
    <w:rsid w:val="003D11B7"/>
    <w:rsid w:val="003D19C6"/>
    <w:rsid w:val="003D1A55"/>
    <w:rsid w:val="003D1A86"/>
    <w:rsid w:val="003D1DE3"/>
    <w:rsid w:val="003D311A"/>
    <w:rsid w:val="003D3328"/>
    <w:rsid w:val="003D3574"/>
    <w:rsid w:val="003D3658"/>
    <w:rsid w:val="003D372A"/>
    <w:rsid w:val="003D4DB5"/>
    <w:rsid w:val="003D5464"/>
    <w:rsid w:val="003D58F6"/>
    <w:rsid w:val="003D591F"/>
    <w:rsid w:val="003D597A"/>
    <w:rsid w:val="003D5D79"/>
    <w:rsid w:val="003D7209"/>
    <w:rsid w:val="003E0195"/>
    <w:rsid w:val="003E0943"/>
    <w:rsid w:val="003E0B5B"/>
    <w:rsid w:val="003E0DC4"/>
    <w:rsid w:val="003E13CE"/>
    <w:rsid w:val="003E236A"/>
    <w:rsid w:val="003E2B22"/>
    <w:rsid w:val="003E2CE5"/>
    <w:rsid w:val="003E2ECA"/>
    <w:rsid w:val="003E59A0"/>
    <w:rsid w:val="003E5DDF"/>
    <w:rsid w:val="003E5DE6"/>
    <w:rsid w:val="003E75D5"/>
    <w:rsid w:val="003E7A0C"/>
    <w:rsid w:val="003F0A28"/>
    <w:rsid w:val="003F0DE3"/>
    <w:rsid w:val="003F131E"/>
    <w:rsid w:val="003F13F2"/>
    <w:rsid w:val="003F169A"/>
    <w:rsid w:val="003F1B7B"/>
    <w:rsid w:val="003F2185"/>
    <w:rsid w:val="003F24AB"/>
    <w:rsid w:val="003F2F3F"/>
    <w:rsid w:val="003F358B"/>
    <w:rsid w:val="003F3A77"/>
    <w:rsid w:val="003F4159"/>
    <w:rsid w:val="003F4212"/>
    <w:rsid w:val="003F4B8E"/>
    <w:rsid w:val="003F4CEA"/>
    <w:rsid w:val="003F52EC"/>
    <w:rsid w:val="003F5559"/>
    <w:rsid w:val="003F6004"/>
    <w:rsid w:val="003F653C"/>
    <w:rsid w:val="0040018C"/>
    <w:rsid w:val="004003FC"/>
    <w:rsid w:val="00401BF3"/>
    <w:rsid w:val="00401F9B"/>
    <w:rsid w:val="0040203E"/>
    <w:rsid w:val="0040261C"/>
    <w:rsid w:val="0040276A"/>
    <w:rsid w:val="00402B42"/>
    <w:rsid w:val="0040331B"/>
    <w:rsid w:val="0040348B"/>
    <w:rsid w:val="00403924"/>
    <w:rsid w:val="00403E1A"/>
    <w:rsid w:val="004043C4"/>
    <w:rsid w:val="00404ECE"/>
    <w:rsid w:val="00405BC2"/>
    <w:rsid w:val="0040613A"/>
    <w:rsid w:val="0040647E"/>
    <w:rsid w:val="00406A9C"/>
    <w:rsid w:val="00406B2E"/>
    <w:rsid w:val="00406D95"/>
    <w:rsid w:val="00407935"/>
    <w:rsid w:val="0041030F"/>
    <w:rsid w:val="004106F8"/>
    <w:rsid w:val="00410A2F"/>
    <w:rsid w:val="00410E73"/>
    <w:rsid w:val="004121A4"/>
    <w:rsid w:val="0041248F"/>
    <w:rsid w:val="004125A1"/>
    <w:rsid w:val="00412A21"/>
    <w:rsid w:val="0041328A"/>
    <w:rsid w:val="00413D33"/>
    <w:rsid w:val="004146E4"/>
    <w:rsid w:val="0041494F"/>
    <w:rsid w:val="00414DDC"/>
    <w:rsid w:val="00415DF7"/>
    <w:rsid w:val="00415E2C"/>
    <w:rsid w:val="004160B7"/>
    <w:rsid w:val="00416282"/>
    <w:rsid w:val="0041677C"/>
    <w:rsid w:val="00417326"/>
    <w:rsid w:val="0041796E"/>
    <w:rsid w:val="00420755"/>
    <w:rsid w:val="0042095B"/>
    <w:rsid w:val="00420ECC"/>
    <w:rsid w:val="00420F4F"/>
    <w:rsid w:val="00421D8B"/>
    <w:rsid w:val="00421F74"/>
    <w:rsid w:val="004222CE"/>
    <w:rsid w:val="00422872"/>
    <w:rsid w:val="0042393D"/>
    <w:rsid w:val="00423A47"/>
    <w:rsid w:val="004257CC"/>
    <w:rsid w:val="00425899"/>
    <w:rsid w:val="00425AC6"/>
    <w:rsid w:val="0042632A"/>
    <w:rsid w:val="00427179"/>
    <w:rsid w:val="00427B63"/>
    <w:rsid w:val="0043046B"/>
    <w:rsid w:val="00430690"/>
    <w:rsid w:val="00430F0C"/>
    <w:rsid w:val="00433349"/>
    <w:rsid w:val="0043361E"/>
    <w:rsid w:val="004337F2"/>
    <w:rsid w:val="00433AE3"/>
    <w:rsid w:val="00434741"/>
    <w:rsid w:val="00434D47"/>
    <w:rsid w:val="00435706"/>
    <w:rsid w:val="00435911"/>
    <w:rsid w:val="004367A9"/>
    <w:rsid w:val="00437103"/>
    <w:rsid w:val="0043769A"/>
    <w:rsid w:val="00440460"/>
    <w:rsid w:val="00440600"/>
    <w:rsid w:val="00440ADE"/>
    <w:rsid w:val="004412E4"/>
    <w:rsid w:val="00441477"/>
    <w:rsid w:val="00441B9C"/>
    <w:rsid w:val="0044207C"/>
    <w:rsid w:val="004428DE"/>
    <w:rsid w:val="00442B4C"/>
    <w:rsid w:val="00442B86"/>
    <w:rsid w:val="00442E31"/>
    <w:rsid w:val="00442EF2"/>
    <w:rsid w:val="004433AC"/>
    <w:rsid w:val="004439D2"/>
    <w:rsid w:val="004440D8"/>
    <w:rsid w:val="004442AC"/>
    <w:rsid w:val="00444A09"/>
    <w:rsid w:val="0044500A"/>
    <w:rsid w:val="00445519"/>
    <w:rsid w:val="004456B8"/>
    <w:rsid w:val="004460F6"/>
    <w:rsid w:val="00446B2B"/>
    <w:rsid w:val="004473A2"/>
    <w:rsid w:val="00447546"/>
    <w:rsid w:val="0045006A"/>
    <w:rsid w:val="00451034"/>
    <w:rsid w:val="00451184"/>
    <w:rsid w:val="00451BF5"/>
    <w:rsid w:val="004521A5"/>
    <w:rsid w:val="00452855"/>
    <w:rsid w:val="004530DB"/>
    <w:rsid w:val="00453426"/>
    <w:rsid w:val="00453CBE"/>
    <w:rsid w:val="004540A0"/>
    <w:rsid w:val="004542AE"/>
    <w:rsid w:val="00455B37"/>
    <w:rsid w:val="00456905"/>
    <w:rsid w:val="00456A95"/>
    <w:rsid w:val="00457158"/>
    <w:rsid w:val="004571EB"/>
    <w:rsid w:val="0045781A"/>
    <w:rsid w:val="00457926"/>
    <w:rsid w:val="0046016E"/>
    <w:rsid w:val="00460652"/>
    <w:rsid w:val="0046154B"/>
    <w:rsid w:val="00461A1A"/>
    <w:rsid w:val="00462139"/>
    <w:rsid w:val="0046254B"/>
    <w:rsid w:val="004625FC"/>
    <w:rsid w:val="004627B2"/>
    <w:rsid w:val="00462B89"/>
    <w:rsid w:val="00462FCC"/>
    <w:rsid w:val="00463444"/>
    <w:rsid w:val="0046375C"/>
    <w:rsid w:val="00463A29"/>
    <w:rsid w:val="004642A1"/>
    <w:rsid w:val="00464817"/>
    <w:rsid w:val="004651BF"/>
    <w:rsid w:val="004652D6"/>
    <w:rsid w:val="00465698"/>
    <w:rsid w:val="0046573A"/>
    <w:rsid w:val="00465D59"/>
    <w:rsid w:val="00465E1E"/>
    <w:rsid w:val="00465E35"/>
    <w:rsid w:val="00465FFD"/>
    <w:rsid w:val="00466142"/>
    <w:rsid w:val="00466357"/>
    <w:rsid w:val="004668F6"/>
    <w:rsid w:val="00466A9C"/>
    <w:rsid w:val="00470906"/>
    <w:rsid w:val="0047184B"/>
    <w:rsid w:val="00471CA3"/>
    <w:rsid w:val="0047222A"/>
    <w:rsid w:val="00472983"/>
    <w:rsid w:val="0047299A"/>
    <w:rsid w:val="00472A84"/>
    <w:rsid w:val="00473B5E"/>
    <w:rsid w:val="00474161"/>
    <w:rsid w:val="004741BB"/>
    <w:rsid w:val="004742FC"/>
    <w:rsid w:val="00474AF7"/>
    <w:rsid w:val="004753EE"/>
    <w:rsid w:val="004755D9"/>
    <w:rsid w:val="00476C78"/>
    <w:rsid w:val="004773FE"/>
    <w:rsid w:val="0047762F"/>
    <w:rsid w:val="00477DD0"/>
    <w:rsid w:val="00480065"/>
    <w:rsid w:val="004800D2"/>
    <w:rsid w:val="00480972"/>
    <w:rsid w:val="00480A4A"/>
    <w:rsid w:val="00482133"/>
    <w:rsid w:val="0048227C"/>
    <w:rsid w:val="004824AC"/>
    <w:rsid w:val="00482766"/>
    <w:rsid w:val="00482CE7"/>
    <w:rsid w:val="00483AD9"/>
    <w:rsid w:val="00484211"/>
    <w:rsid w:val="00484F3F"/>
    <w:rsid w:val="00484F92"/>
    <w:rsid w:val="004854BC"/>
    <w:rsid w:val="00485580"/>
    <w:rsid w:val="00485A00"/>
    <w:rsid w:val="00485F20"/>
    <w:rsid w:val="004864B4"/>
    <w:rsid w:val="004866B5"/>
    <w:rsid w:val="00486DB2"/>
    <w:rsid w:val="00486DEC"/>
    <w:rsid w:val="00486E93"/>
    <w:rsid w:val="00487231"/>
    <w:rsid w:val="004910D0"/>
    <w:rsid w:val="00491434"/>
    <w:rsid w:val="004927DF"/>
    <w:rsid w:val="004928C4"/>
    <w:rsid w:val="00492928"/>
    <w:rsid w:val="00492D28"/>
    <w:rsid w:val="00493CBF"/>
    <w:rsid w:val="00493D66"/>
    <w:rsid w:val="004941A0"/>
    <w:rsid w:val="0049490F"/>
    <w:rsid w:val="004953A3"/>
    <w:rsid w:val="004956A1"/>
    <w:rsid w:val="004964C5"/>
    <w:rsid w:val="004964D2"/>
    <w:rsid w:val="00496699"/>
    <w:rsid w:val="00496F79"/>
    <w:rsid w:val="00497A4B"/>
    <w:rsid w:val="00497B9D"/>
    <w:rsid w:val="00497E5B"/>
    <w:rsid w:val="004A00C6"/>
    <w:rsid w:val="004A0641"/>
    <w:rsid w:val="004A0699"/>
    <w:rsid w:val="004A06F1"/>
    <w:rsid w:val="004A1B73"/>
    <w:rsid w:val="004A1F2E"/>
    <w:rsid w:val="004A27A9"/>
    <w:rsid w:val="004A2C85"/>
    <w:rsid w:val="004A2D26"/>
    <w:rsid w:val="004A36A7"/>
    <w:rsid w:val="004A3D3E"/>
    <w:rsid w:val="004A41AC"/>
    <w:rsid w:val="004A41E8"/>
    <w:rsid w:val="004A428B"/>
    <w:rsid w:val="004A48A6"/>
    <w:rsid w:val="004A4CF5"/>
    <w:rsid w:val="004A4F17"/>
    <w:rsid w:val="004A5380"/>
    <w:rsid w:val="004A5DA8"/>
    <w:rsid w:val="004A5E12"/>
    <w:rsid w:val="004A5E45"/>
    <w:rsid w:val="004A61D8"/>
    <w:rsid w:val="004A699C"/>
    <w:rsid w:val="004A6B82"/>
    <w:rsid w:val="004A772F"/>
    <w:rsid w:val="004A796A"/>
    <w:rsid w:val="004A79CF"/>
    <w:rsid w:val="004B0367"/>
    <w:rsid w:val="004B0B10"/>
    <w:rsid w:val="004B0F24"/>
    <w:rsid w:val="004B1652"/>
    <w:rsid w:val="004B17F7"/>
    <w:rsid w:val="004B1EDF"/>
    <w:rsid w:val="004B2E68"/>
    <w:rsid w:val="004B3009"/>
    <w:rsid w:val="004B3942"/>
    <w:rsid w:val="004B41C7"/>
    <w:rsid w:val="004B558B"/>
    <w:rsid w:val="004B5673"/>
    <w:rsid w:val="004B6ACF"/>
    <w:rsid w:val="004B7207"/>
    <w:rsid w:val="004B7468"/>
    <w:rsid w:val="004B7A7A"/>
    <w:rsid w:val="004B7ABB"/>
    <w:rsid w:val="004C1084"/>
    <w:rsid w:val="004C1A95"/>
    <w:rsid w:val="004C20A3"/>
    <w:rsid w:val="004C3A2D"/>
    <w:rsid w:val="004C3D56"/>
    <w:rsid w:val="004C5305"/>
    <w:rsid w:val="004C5467"/>
    <w:rsid w:val="004C7152"/>
    <w:rsid w:val="004C766A"/>
    <w:rsid w:val="004C7A1D"/>
    <w:rsid w:val="004C7B3B"/>
    <w:rsid w:val="004C7EB3"/>
    <w:rsid w:val="004D00B7"/>
    <w:rsid w:val="004D00EF"/>
    <w:rsid w:val="004D0534"/>
    <w:rsid w:val="004D0A5A"/>
    <w:rsid w:val="004D0D3B"/>
    <w:rsid w:val="004D12EC"/>
    <w:rsid w:val="004D18DD"/>
    <w:rsid w:val="004D2320"/>
    <w:rsid w:val="004D274B"/>
    <w:rsid w:val="004D32E2"/>
    <w:rsid w:val="004D48AC"/>
    <w:rsid w:val="004D4B23"/>
    <w:rsid w:val="004D5F4C"/>
    <w:rsid w:val="004D61D4"/>
    <w:rsid w:val="004D799D"/>
    <w:rsid w:val="004E024E"/>
    <w:rsid w:val="004E0538"/>
    <w:rsid w:val="004E0B16"/>
    <w:rsid w:val="004E1122"/>
    <w:rsid w:val="004E1997"/>
    <w:rsid w:val="004E1AF6"/>
    <w:rsid w:val="004E1C48"/>
    <w:rsid w:val="004E2CE8"/>
    <w:rsid w:val="004E3C07"/>
    <w:rsid w:val="004E5395"/>
    <w:rsid w:val="004E5AE5"/>
    <w:rsid w:val="004E681E"/>
    <w:rsid w:val="004E788D"/>
    <w:rsid w:val="004F0111"/>
    <w:rsid w:val="004F081E"/>
    <w:rsid w:val="004F0866"/>
    <w:rsid w:val="004F0C5D"/>
    <w:rsid w:val="004F1EB0"/>
    <w:rsid w:val="004F1FD3"/>
    <w:rsid w:val="004F23FC"/>
    <w:rsid w:val="004F2D8B"/>
    <w:rsid w:val="004F2E18"/>
    <w:rsid w:val="004F306A"/>
    <w:rsid w:val="004F3518"/>
    <w:rsid w:val="004F3710"/>
    <w:rsid w:val="004F3793"/>
    <w:rsid w:val="004F4715"/>
    <w:rsid w:val="004F513C"/>
    <w:rsid w:val="004F513F"/>
    <w:rsid w:val="004F53E6"/>
    <w:rsid w:val="004F5B14"/>
    <w:rsid w:val="004F5CE0"/>
    <w:rsid w:val="004F633D"/>
    <w:rsid w:val="004F6C1B"/>
    <w:rsid w:val="004F780E"/>
    <w:rsid w:val="004F7E28"/>
    <w:rsid w:val="00500119"/>
    <w:rsid w:val="00500149"/>
    <w:rsid w:val="0050029C"/>
    <w:rsid w:val="00502F4C"/>
    <w:rsid w:val="00503177"/>
    <w:rsid w:val="00504D1A"/>
    <w:rsid w:val="005053BE"/>
    <w:rsid w:val="0050550D"/>
    <w:rsid w:val="005055D8"/>
    <w:rsid w:val="00505791"/>
    <w:rsid w:val="00507589"/>
    <w:rsid w:val="005076F5"/>
    <w:rsid w:val="005077CB"/>
    <w:rsid w:val="00510242"/>
    <w:rsid w:val="00510790"/>
    <w:rsid w:val="0051079C"/>
    <w:rsid w:val="005109DC"/>
    <w:rsid w:val="00511AAF"/>
    <w:rsid w:val="00511C5E"/>
    <w:rsid w:val="00512415"/>
    <w:rsid w:val="00513334"/>
    <w:rsid w:val="00513349"/>
    <w:rsid w:val="0051381E"/>
    <w:rsid w:val="00514838"/>
    <w:rsid w:val="005148C1"/>
    <w:rsid w:val="005151DF"/>
    <w:rsid w:val="00515830"/>
    <w:rsid w:val="00516245"/>
    <w:rsid w:val="005165D9"/>
    <w:rsid w:val="005174D9"/>
    <w:rsid w:val="00520668"/>
    <w:rsid w:val="005206BE"/>
    <w:rsid w:val="00520CDE"/>
    <w:rsid w:val="005220F2"/>
    <w:rsid w:val="00522500"/>
    <w:rsid w:val="0052304D"/>
    <w:rsid w:val="005237B3"/>
    <w:rsid w:val="00523AC2"/>
    <w:rsid w:val="00523DC8"/>
    <w:rsid w:val="0052592D"/>
    <w:rsid w:val="005259FB"/>
    <w:rsid w:val="00527054"/>
    <w:rsid w:val="00527E0D"/>
    <w:rsid w:val="005302D7"/>
    <w:rsid w:val="0053035A"/>
    <w:rsid w:val="005305D7"/>
    <w:rsid w:val="0053072B"/>
    <w:rsid w:val="0053092C"/>
    <w:rsid w:val="00531431"/>
    <w:rsid w:val="005314A0"/>
    <w:rsid w:val="00531919"/>
    <w:rsid w:val="00531A86"/>
    <w:rsid w:val="0053306E"/>
    <w:rsid w:val="005331FE"/>
    <w:rsid w:val="00533635"/>
    <w:rsid w:val="00533707"/>
    <w:rsid w:val="005337FB"/>
    <w:rsid w:val="005345B9"/>
    <w:rsid w:val="00535206"/>
    <w:rsid w:val="0053528B"/>
    <w:rsid w:val="00535840"/>
    <w:rsid w:val="005359BF"/>
    <w:rsid w:val="0053627C"/>
    <w:rsid w:val="00536AC1"/>
    <w:rsid w:val="00536EEF"/>
    <w:rsid w:val="00537214"/>
    <w:rsid w:val="00537DC1"/>
    <w:rsid w:val="00537E77"/>
    <w:rsid w:val="00537F50"/>
    <w:rsid w:val="0054068D"/>
    <w:rsid w:val="005411B6"/>
    <w:rsid w:val="0054124B"/>
    <w:rsid w:val="00541694"/>
    <w:rsid w:val="00541C89"/>
    <w:rsid w:val="00541EA0"/>
    <w:rsid w:val="00542964"/>
    <w:rsid w:val="00544B4B"/>
    <w:rsid w:val="00544E58"/>
    <w:rsid w:val="00544EB7"/>
    <w:rsid w:val="00545150"/>
    <w:rsid w:val="005456FC"/>
    <w:rsid w:val="005461DF"/>
    <w:rsid w:val="00546274"/>
    <w:rsid w:val="0054676B"/>
    <w:rsid w:val="005472FA"/>
    <w:rsid w:val="0054781B"/>
    <w:rsid w:val="005478D5"/>
    <w:rsid w:val="00547EF3"/>
    <w:rsid w:val="0055047A"/>
    <w:rsid w:val="00550855"/>
    <w:rsid w:val="00550CFF"/>
    <w:rsid w:val="005515E1"/>
    <w:rsid w:val="005534EB"/>
    <w:rsid w:val="005536FD"/>
    <w:rsid w:val="00553AA9"/>
    <w:rsid w:val="00553AFB"/>
    <w:rsid w:val="00553F25"/>
    <w:rsid w:val="00555115"/>
    <w:rsid w:val="00555464"/>
    <w:rsid w:val="005560EC"/>
    <w:rsid w:val="0055638A"/>
    <w:rsid w:val="00557A3F"/>
    <w:rsid w:val="0056046D"/>
    <w:rsid w:val="005612EA"/>
    <w:rsid w:val="00563AAA"/>
    <w:rsid w:val="00563B80"/>
    <w:rsid w:val="0056426D"/>
    <w:rsid w:val="0056438B"/>
    <w:rsid w:val="00565305"/>
    <w:rsid w:val="00565C36"/>
    <w:rsid w:val="00565E32"/>
    <w:rsid w:val="00566219"/>
    <w:rsid w:val="005667EB"/>
    <w:rsid w:val="005669B2"/>
    <w:rsid w:val="00566AF6"/>
    <w:rsid w:val="00566D61"/>
    <w:rsid w:val="00567956"/>
    <w:rsid w:val="00567E65"/>
    <w:rsid w:val="005710C4"/>
    <w:rsid w:val="00571152"/>
    <w:rsid w:val="00571404"/>
    <w:rsid w:val="00571E67"/>
    <w:rsid w:val="00572703"/>
    <w:rsid w:val="0057363A"/>
    <w:rsid w:val="00573D24"/>
    <w:rsid w:val="00573E37"/>
    <w:rsid w:val="005742F5"/>
    <w:rsid w:val="00574510"/>
    <w:rsid w:val="0057475E"/>
    <w:rsid w:val="00574F07"/>
    <w:rsid w:val="00575404"/>
    <w:rsid w:val="00575C7D"/>
    <w:rsid w:val="00575F14"/>
    <w:rsid w:val="0058018C"/>
    <w:rsid w:val="00580295"/>
    <w:rsid w:val="00580AE7"/>
    <w:rsid w:val="00580C5A"/>
    <w:rsid w:val="005823D1"/>
    <w:rsid w:val="00582655"/>
    <w:rsid w:val="00583112"/>
    <w:rsid w:val="00583254"/>
    <w:rsid w:val="005838D7"/>
    <w:rsid w:val="00583D26"/>
    <w:rsid w:val="005841C4"/>
    <w:rsid w:val="00584251"/>
    <w:rsid w:val="00584314"/>
    <w:rsid w:val="005847F1"/>
    <w:rsid w:val="00584D49"/>
    <w:rsid w:val="00585038"/>
    <w:rsid w:val="00585199"/>
    <w:rsid w:val="00585F78"/>
    <w:rsid w:val="00585FD1"/>
    <w:rsid w:val="0058636C"/>
    <w:rsid w:val="00586698"/>
    <w:rsid w:val="00586988"/>
    <w:rsid w:val="00586B1C"/>
    <w:rsid w:val="00586EBF"/>
    <w:rsid w:val="00587BDD"/>
    <w:rsid w:val="005903A5"/>
    <w:rsid w:val="005918A4"/>
    <w:rsid w:val="00591904"/>
    <w:rsid w:val="00593824"/>
    <w:rsid w:val="00593D90"/>
    <w:rsid w:val="00593F2D"/>
    <w:rsid w:val="005945E1"/>
    <w:rsid w:val="00595397"/>
    <w:rsid w:val="00595640"/>
    <w:rsid w:val="00595991"/>
    <w:rsid w:val="005960CC"/>
    <w:rsid w:val="005965F7"/>
    <w:rsid w:val="005A0506"/>
    <w:rsid w:val="005A0635"/>
    <w:rsid w:val="005A087D"/>
    <w:rsid w:val="005A1121"/>
    <w:rsid w:val="005A1406"/>
    <w:rsid w:val="005A1849"/>
    <w:rsid w:val="005A1DBB"/>
    <w:rsid w:val="005A2057"/>
    <w:rsid w:val="005A2062"/>
    <w:rsid w:val="005A25DD"/>
    <w:rsid w:val="005A2768"/>
    <w:rsid w:val="005A28B1"/>
    <w:rsid w:val="005A2FD0"/>
    <w:rsid w:val="005A341B"/>
    <w:rsid w:val="005A40FB"/>
    <w:rsid w:val="005A5466"/>
    <w:rsid w:val="005A5CC8"/>
    <w:rsid w:val="005A6589"/>
    <w:rsid w:val="005A668A"/>
    <w:rsid w:val="005A6E5E"/>
    <w:rsid w:val="005A733D"/>
    <w:rsid w:val="005A76BD"/>
    <w:rsid w:val="005B161F"/>
    <w:rsid w:val="005B1E71"/>
    <w:rsid w:val="005B20A5"/>
    <w:rsid w:val="005B2392"/>
    <w:rsid w:val="005B36E7"/>
    <w:rsid w:val="005B4BEE"/>
    <w:rsid w:val="005B4D3E"/>
    <w:rsid w:val="005B5054"/>
    <w:rsid w:val="005B55E7"/>
    <w:rsid w:val="005B5851"/>
    <w:rsid w:val="005B70EA"/>
    <w:rsid w:val="005B7EF8"/>
    <w:rsid w:val="005C14A4"/>
    <w:rsid w:val="005C1F3F"/>
    <w:rsid w:val="005C255D"/>
    <w:rsid w:val="005C31CC"/>
    <w:rsid w:val="005C35B0"/>
    <w:rsid w:val="005C37E2"/>
    <w:rsid w:val="005C3AF2"/>
    <w:rsid w:val="005C3EC7"/>
    <w:rsid w:val="005C406D"/>
    <w:rsid w:val="005C41D3"/>
    <w:rsid w:val="005C5D56"/>
    <w:rsid w:val="005C698D"/>
    <w:rsid w:val="005C6F63"/>
    <w:rsid w:val="005C75F3"/>
    <w:rsid w:val="005D0479"/>
    <w:rsid w:val="005D08F1"/>
    <w:rsid w:val="005D0F05"/>
    <w:rsid w:val="005D1128"/>
    <w:rsid w:val="005D221D"/>
    <w:rsid w:val="005D24EC"/>
    <w:rsid w:val="005D36F1"/>
    <w:rsid w:val="005D3C63"/>
    <w:rsid w:val="005D3DBC"/>
    <w:rsid w:val="005D4132"/>
    <w:rsid w:val="005D41C3"/>
    <w:rsid w:val="005D602B"/>
    <w:rsid w:val="005D61D1"/>
    <w:rsid w:val="005D6204"/>
    <w:rsid w:val="005D7293"/>
    <w:rsid w:val="005D770F"/>
    <w:rsid w:val="005E23E8"/>
    <w:rsid w:val="005E30DE"/>
    <w:rsid w:val="005E335E"/>
    <w:rsid w:val="005E3E75"/>
    <w:rsid w:val="005E47C0"/>
    <w:rsid w:val="005E48E5"/>
    <w:rsid w:val="005E4BE8"/>
    <w:rsid w:val="005E55FD"/>
    <w:rsid w:val="005E5FF7"/>
    <w:rsid w:val="005E61F4"/>
    <w:rsid w:val="005E63B7"/>
    <w:rsid w:val="005E6F59"/>
    <w:rsid w:val="005E7AD3"/>
    <w:rsid w:val="005E7E04"/>
    <w:rsid w:val="005F04F2"/>
    <w:rsid w:val="005F1F2C"/>
    <w:rsid w:val="005F2AF7"/>
    <w:rsid w:val="005F2FCF"/>
    <w:rsid w:val="005F3565"/>
    <w:rsid w:val="005F35E0"/>
    <w:rsid w:val="005F492B"/>
    <w:rsid w:val="005F5B17"/>
    <w:rsid w:val="005F61B9"/>
    <w:rsid w:val="005F6661"/>
    <w:rsid w:val="005F6BF6"/>
    <w:rsid w:val="005F7340"/>
    <w:rsid w:val="005F73F6"/>
    <w:rsid w:val="0060033B"/>
    <w:rsid w:val="006004C7"/>
    <w:rsid w:val="0060056A"/>
    <w:rsid w:val="006006F5"/>
    <w:rsid w:val="00600EF9"/>
    <w:rsid w:val="006016B1"/>
    <w:rsid w:val="00601C54"/>
    <w:rsid w:val="00601FF9"/>
    <w:rsid w:val="0060241B"/>
    <w:rsid w:val="00603934"/>
    <w:rsid w:val="00603A24"/>
    <w:rsid w:val="006041C8"/>
    <w:rsid w:val="006065F0"/>
    <w:rsid w:val="00606DA7"/>
    <w:rsid w:val="00606F2A"/>
    <w:rsid w:val="00606FFD"/>
    <w:rsid w:val="00610DA1"/>
    <w:rsid w:val="0061119E"/>
    <w:rsid w:val="006113DD"/>
    <w:rsid w:val="00611511"/>
    <w:rsid w:val="006125C2"/>
    <w:rsid w:val="0061262D"/>
    <w:rsid w:val="00612957"/>
    <w:rsid w:val="0061332B"/>
    <w:rsid w:val="00614276"/>
    <w:rsid w:val="00614DBF"/>
    <w:rsid w:val="006156F4"/>
    <w:rsid w:val="006167B2"/>
    <w:rsid w:val="00616AC1"/>
    <w:rsid w:val="00616D30"/>
    <w:rsid w:val="00617145"/>
    <w:rsid w:val="00617727"/>
    <w:rsid w:val="00617765"/>
    <w:rsid w:val="006177EB"/>
    <w:rsid w:val="0062006D"/>
    <w:rsid w:val="00621128"/>
    <w:rsid w:val="006213A5"/>
    <w:rsid w:val="00621CDB"/>
    <w:rsid w:val="006220DE"/>
    <w:rsid w:val="00622904"/>
    <w:rsid w:val="00622C3E"/>
    <w:rsid w:val="00623A9A"/>
    <w:rsid w:val="00623BBD"/>
    <w:rsid w:val="00623EE6"/>
    <w:rsid w:val="00625B91"/>
    <w:rsid w:val="006265FC"/>
    <w:rsid w:val="00627089"/>
    <w:rsid w:val="00627646"/>
    <w:rsid w:val="00630772"/>
    <w:rsid w:val="006312C7"/>
    <w:rsid w:val="006314E5"/>
    <w:rsid w:val="006321D7"/>
    <w:rsid w:val="00633805"/>
    <w:rsid w:val="00633BD3"/>
    <w:rsid w:val="00633BDB"/>
    <w:rsid w:val="00633DEB"/>
    <w:rsid w:val="00633E6F"/>
    <w:rsid w:val="0063441F"/>
    <w:rsid w:val="006345DC"/>
    <w:rsid w:val="00635335"/>
    <w:rsid w:val="00635C8D"/>
    <w:rsid w:val="00636678"/>
    <w:rsid w:val="00637357"/>
    <w:rsid w:val="0063737B"/>
    <w:rsid w:val="0064013D"/>
    <w:rsid w:val="006402F6"/>
    <w:rsid w:val="00641E87"/>
    <w:rsid w:val="006421B5"/>
    <w:rsid w:val="006427AB"/>
    <w:rsid w:val="00642869"/>
    <w:rsid w:val="00643304"/>
    <w:rsid w:val="00644647"/>
    <w:rsid w:val="006447AA"/>
    <w:rsid w:val="00644E9D"/>
    <w:rsid w:val="0064571B"/>
    <w:rsid w:val="00645833"/>
    <w:rsid w:val="00645DD2"/>
    <w:rsid w:val="006460B8"/>
    <w:rsid w:val="00646703"/>
    <w:rsid w:val="00646E7E"/>
    <w:rsid w:val="00647660"/>
    <w:rsid w:val="00647739"/>
    <w:rsid w:val="006509BD"/>
    <w:rsid w:val="00650EDF"/>
    <w:rsid w:val="0065129A"/>
    <w:rsid w:val="00652AD0"/>
    <w:rsid w:val="00652C91"/>
    <w:rsid w:val="0065310E"/>
    <w:rsid w:val="0065375D"/>
    <w:rsid w:val="00654666"/>
    <w:rsid w:val="00654D63"/>
    <w:rsid w:val="006550AA"/>
    <w:rsid w:val="006554B0"/>
    <w:rsid w:val="0065571F"/>
    <w:rsid w:val="00655BD2"/>
    <w:rsid w:val="00655DEA"/>
    <w:rsid w:val="00656F9E"/>
    <w:rsid w:val="006578FA"/>
    <w:rsid w:val="0066012A"/>
    <w:rsid w:val="0066165A"/>
    <w:rsid w:val="006617FA"/>
    <w:rsid w:val="00661AE9"/>
    <w:rsid w:val="006625F4"/>
    <w:rsid w:val="006635C0"/>
    <w:rsid w:val="006635C2"/>
    <w:rsid w:val="006636E0"/>
    <w:rsid w:val="00663A49"/>
    <w:rsid w:val="00663A74"/>
    <w:rsid w:val="00663D35"/>
    <w:rsid w:val="00665181"/>
    <w:rsid w:val="00665600"/>
    <w:rsid w:val="00665FE4"/>
    <w:rsid w:val="00666457"/>
    <w:rsid w:val="006670E8"/>
    <w:rsid w:val="0066713D"/>
    <w:rsid w:val="00667710"/>
    <w:rsid w:val="00667DA7"/>
    <w:rsid w:val="00670098"/>
    <w:rsid w:val="00670C15"/>
    <w:rsid w:val="006710C1"/>
    <w:rsid w:val="00671661"/>
    <w:rsid w:val="00671666"/>
    <w:rsid w:val="00671D63"/>
    <w:rsid w:val="00672381"/>
    <w:rsid w:val="006726D6"/>
    <w:rsid w:val="006736DC"/>
    <w:rsid w:val="0067375C"/>
    <w:rsid w:val="006738FE"/>
    <w:rsid w:val="006746E7"/>
    <w:rsid w:val="00674952"/>
    <w:rsid w:val="00675B34"/>
    <w:rsid w:val="00675EBD"/>
    <w:rsid w:val="0067612D"/>
    <w:rsid w:val="00676A90"/>
    <w:rsid w:val="00677473"/>
    <w:rsid w:val="00677E3C"/>
    <w:rsid w:val="00680484"/>
    <w:rsid w:val="00680C65"/>
    <w:rsid w:val="00681BB6"/>
    <w:rsid w:val="00681D12"/>
    <w:rsid w:val="006820F6"/>
    <w:rsid w:val="0068316C"/>
    <w:rsid w:val="0068367B"/>
    <w:rsid w:val="006839B6"/>
    <w:rsid w:val="006847E1"/>
    <w:rsid w:val="00684AB2"/>
    <w:rsid w:val="0068557A"/>
    <w:rsid w:val="006863B7"/>
    <w:rsid w:val="00686B40"/>
    <w:rsid w:val="00686EF2"/>
    <w:rsid w:val="006878A7"/>
    <w:rsid w:val="00690C11"/>
    <w:rsid w:val="00690EE6"/>
    <w:rsid w:val="00690FFE"/>
    <w:rsid w:val="0069115C"/>
    <w:rsid w:val="006917DA"/>
    <w:rsid w:val="00692486"/>
    <w:rsid w:val="0069295A"/>
    <w:rsid w:val="00692ACA"/>
    <w:rsid w:val="006959B6"/>
    <w:rsid w:val="00695C66"/>
    <w:rsid w:val="00696A2C"/>
    <w:rsid w:val="00697403"/>
    <w:rsid w:val="00697AA5"/>
    <w:rsid w:val="006A05B4"/>
    <w:rsid w:val="006A1684"/>
    <w:rsid w:val="006A1703"/>
    <w:rsid w:val="006A2410"/>
    <w:rsid w:val="006A2B5B"/>
    <w:rsid w:val="006A2FC7"/>
    <w:rsid w:val="006A321D"/>
    <w:rsid w:val="006A4310"/>
    <w:rsid w:val="006A4966"/>
    <w:rsid w:val="006A5457"/>
    <w:rsid w:val="006A5603"/>
    <w:rsid w:val="006A5729"/>
    <w:rsid w:val="006A60C5"/>
    <w:rsid w:val="006A6C3A"/>
    <w:rsid w:val="006A6CD3"/>
    <w:rsid w:val="006A74FB"/>
    <w:rsid w:val="006B07FF"/>
    <w:rsid w:val="006B10BD"/>
    <w:rsid w:val="006B1182"/>
    <w:rsid w:val="006B18FF"/>
    <w:rsid w:val="006B203A"/>
    <w:rsid w:val="006B2710"/>
    <w:rsid w:val="006B2FDE"/>
    <w:rsid w:val="006B36C3"/>
    <w:rsid w:val="006B43AE"/>
    <w:rsid w:val="006B4D12"/>
    <w:rsid w:val="006B5C86"/>
    <w:rsid w:val="006B75E9"/>
    <w:rsid w:val="006B7AD2"/>
    <w:rsid w:val="006B7DAC"/>
    <w:rsid w:val="006C03B5"/>
    <w:rsid w:val="006C0EFC"/>
    <w:rsid w:val="006C2940"/>
    <w:rsid w:val="006C458D"/>
    <w:rsid w:val="006C4E0B"/>
    <w:rsid w:val="006C5252"/>
    <w:rsid w:val="006C59E6"/>
    <w:rsid w:val="006C5EDB"/>
    <w:rsid w:val="006C618E"/>
    <w:rsid w:val="006C75E3"/>
    <w:rsid w:val="006C7681"/>
    <w:rsid w:val="006C7C1D"/>
    <w:rsid w:val="006C7F9E"/>
    <w:rsid w:val="006D0473"/>
    <w:rsid w:val="006D0734"/>
    <w:rsid w:val="006D0A37"/>
    <w:rsid w:val="006D1301"/>
    <w:rsid w:val="006D1412"/>
    <w:rsid w:val="006D1845"/>
    <w:rsid w:val="006D1DB4"/>
    <w:rsid w:val="006D1E62"/>
    <w:rsid w:val="006D232F"/>
    <w:rsid w:val="006D25DB"/>
    <w:rsid w:val="006D32A2"/>
    <w:rsid w:val="006D39AF"/>
    <w:rsid w:val="006D3CED"/>
    <w:rsid w:val="006D4C05"/>
    <w:rsid w:val="006D5AD0"/>
    <w:rsid w:val="006D5ECC"/>
    <w:rsid w:val="006D6165"/>
    <w:rsid w:val="006D638B"/>
    <w:rsid w:val="006D7807"/>
    <w:rsid w:val="006E06AB"/>
    <w:rsid w:val="006E096F"/>
    <w:rsid w:val="006E0C6C"/>
    <w:rsid w:val="006E0CFC"/>
    <w:rsid w:val="006E1287"/>
    <w:rsid w:val="006E1593"/>
    <w:rsid w:val="006E3286"/>
    <w:rsid w:val="006E3A62"/>
    <w:rsid w:val="006E3DC3"/>
    <w:rsid w:val="006E4786"/>
    <w:rsid w:val="006E4C0F"/>
    <w:rsid w:val="006E553A"/>
    <w:rsid w:val="006E5C68"/>
    <w:rsid w:val="006E5CE3"/>
    <w:rsid w:val="006E60D7"/>
    <w:rsid w:val="006E68BE"/>
    <w:rsid w:val="006E6BD2"/>
    <w:rsid w:val="006E6FDB"/>
    <w:rsid w:val="006E747F"/>
    <w:rsid w:val="006E7B74"/>
    <w:rsid w:val="006F105E"/>
    <w:rsid w:val="006F1646"/>
    <w:rsid w:val="006F24F5"/>
    <w:rsid w:val="006F3394"/>
    <w:rsid w:val="006F3543"/>
    <w:rsid w:val="006F3C68"/>
    <w:rsid w:val="006F4A1A"/>
    <w:rsid w:val="006F51B8"/>
    <w:rsid w:val="006F5833"/>
    <w:rsid w:val="006F5ED4"/>
    <w:rsid w:val="006F6FB1"/>
    <w:rsid w:val="006F7047"/>
    <w:rsid w:val="006F70EE"/>
    <w:rsid w:val="006F7190"/>
    <w:rsid w:val="006F763F"/>
    <w:rsid w:val="006F7885"/>
    <w:rsid w:val="00700129"/>
    <w:rsid w:val="00700924"/>
    <w:rsid w:val="00700B09"/>
    <w:rsid w:val="00700F35"/>
    <w:rsid w:val="007011E5"/>
    <w:rsid w:val="007019C6"/>
    <w:rsid w:val="007022F9"/>
    <w:rsid w:val="0070235C"/>
    <w:rsid w:val="00703879"/>
    <w:rsid w:val="00703CE2"/>
    <w:rsid w:val="00703D34"/>
    <w:rsid w:val="00704F4E"/>
    <w:rsid w:val="0070596C"/>
    <w:rsid w:val="00706BC3"/>
    <w:rsid w:val="00707BF6"/>
    <w:rsid w:val="00707DCC"/>
    <w:rsid w:val="00710A7D"/>
    <w:rsid w:val="00710EF6"/>
    <w:rsid w:val="007135A6"/>
    <w:rsid w:val="00713835"/>
    <w:rsid w:val="007140CE"/>
    <w:rsid w:val="007147A1"/>
    <w:rsid w:val="00714C63"/>
    <w:rsid w:val="00714CE0"/>
    <w:rsid w:val="00714EEB"/>
    <w:rsid w:val="007156C7"/>
    <w:rsid w:val="0071581B"/>
    <w:rsid w:val="00715CDA"/>
    <w:rsid w:val="0071666E"/>
    <w:rsid w:val="00716810"/>
    <w:rsid w:val="007168F3"/>
    <w:rsid w:val="007169B3"/>
    <w:rsid w:val="00716CBF"/>
    <w:rsid w:val="00716F06"/>
    <w:rsid w:val="0071702D"/>
    <w:rsid w:val="007171C8"/>
    <w:rsid w:val="0071758A"/>
    <w:rsid w:val="0071762F"/>
    <w:rsid w:val="00717698"/>
    <w:rsid w:val="00717939"/>
    <w:rsid w:val="00717E8E"/>
    <w:rsid w:val="00720E4A"/>
    <w:rsid w:val="00720F27"/>
    <w:rsid w:val="007214C0"/>
    <w:rsid w:val="00721AED"/>
    <w:rsid w:val="00721C27"/>
    <w:rsid w:val="00722128"/>
    <w:rsid w:val="00724289"/>
    <w:rsid w:val="007242B5"/>
    <w:rsid w:val="00724A6A"/>
    <w:rsid w:val="00725264"/>
    <w:rsid w:val="007255F5"/>
    <w:rsid w:val="00725702"/>
    <w:rsid w:val="00726075"/>
    <w:rsid w:val="007262F2"/>
    <w:rsid w:val="00726378"/>
    <w:rsid w:val="007270D4"/>
    <w:rsid w:val="007302DB"/>
    <w:rsid w:val="00731891"/>
    <w:rsid w:val="00732263"/>
    <w:rsid w:val="007328A9"/>
    <w:rsid w:val="007330EA"/>
    <w:rsid w:val="007332B1"/>
    <w:rsid w:val="00733D56"/>
    <w:rsid w:val="00734052"/>
    <w:rsid w:val="00736813"/>
    <w:rsid w:val="00737CBC"/>
    <w:rsid w:val="00740E9C"/>
    <w:rsid w:val="007410B8"/>
    <w:rsid w:val="00741424"/>
    <w:rsid w:val="00741EF2"/>
    <w:rsid w:val="00742226"/>
    <w:rsid w:val="00743082"/>
    <w:rsid w:val="007439F3"/>
    <w:rsid w:val="00743AC7"/>
    <w:rsid w:val="00744375"/>
    <w:rsid w:val="00744720"/>
    <w:rsid w:val="00744C1B"/>
    <w:rsid w:val="00744F65"/>
    <w:rsid w:val="007459BD"/>
    <w:rsid w:val="00745E8C"/>
    <w:rsid w:val="007464D6"/>
    <w:rsid w:val="0074667D"/>
    <w:rsid w:val="00747449"/>
    <w:rsid w:val="0075160C"/>
    <w:rsid w:val="00752179"/>
    <w:rsid w:val="00752895"/>
    <w:rsid w:val="00753CB3"/>
    <w:rsid w:val="0075454B"/>
    <w:rsid w:val="00754D14"/>
    <w:rsid w:val="00754DD5"/>
    <w:rsid w:val="00755450"/>
    <w:rsid w:val="007554FA"/>
    <w:rsid w:val="00756966"/>
    <w:rsid w:val="00757F70"/>
    <w:rsid w:val="0076015D"/>
    <w:rsid w:val="00760A82"/>
    <w:rsid w:val="00760C91"/>
    <w:rsid w:val="00761256"/>
    <w:rsid w:val="0076194C"/>
    <w:rsid w:val="00761C2B"/>
    <w:rsid w:val="007630D5"/>
    <w:rsid w:val="00763410"/>
    <w:rsid w:val="00763446"/>
    <w:rsid w:val="00763DC7"/>
    <w:rsid w:val="007653D3"/>
    <w:rsid w:val="0076591D"/>
    <w:rsid w:val="00765CB4"/>
    <w:rsid w:val="00765E96"/>
    <w:rsid w:val="00766184"/>
    <w:rsid w:val="007664FF"/>
    <w:rsid w:val="00766F90"/>
    <w:rsid w:val="0076747C"/>
    <w:rsid w:val="00767E26"/>
    <w:rsid w:val="007704FD"/>
    <w:rsid w:val="0077089E"/>
    <w:rsid w:val="00770D14"/>
    <w:rsid w:val="00770FED"/>
    <w:rsid w:val="007710F3"/>
    <w:rsid w:val="00771A0C"/>
    <w:rsid w:val="00771FAD"/>
    <w:rsid w:val="0077200A"/>
    <w:rsid w:val="0077245C"/>
    <w:rsid w:val="007724F3"/>
    <w:rsid w:val="00772BBA"/>
    <w:rsid w:val="00772DAA"/>
    <w:rsid w:val="00772F7C"/>
    <w:rsid w:val="00773216"/>
    <w:rsid w:val="00773A9B"/>
    <w:rsid w:val="00773F01"/>
    <w:rsid w:val="007755A9"/>
    <w:rsid w:val="00775D33"/>
    <w:rsid w:val="007760A3"/>
    <w:rsid w:val="0077620D"/>
    <w:rsid w:val="00777451"/>
    <w:rsid w:val="00777658"/>
    <w:rsid w:val="00782BB6"/>
    <w:rsid w:val="00783092"/>
    <w:rsid w:val="00783AE6"/>
    <w:rsid w:val="00783C6C"/>
    <w:rsid w:val="007845F0"/>
    <w:rsid w:val="007854D4"/>
    <w:rsid w:val="0078640A"/>
    <w:rsid w:val="00786B6F"/>
    <w:rsid w:val="007875C8"/>
    <w:rsid w:val="00787914"/>
    <w:rsid w:val="00787A6D"/>
    <w:rsid w:val="00787ADE"/>
    <w:rsid w:val="00790608"/>
    <w:rsid w:val="0079073B"/>
    <w:rsid w:val="00790871"/>
    <w:rsid w:val="007916AB"/>
    <w:rsid w:val="007917E6"/>
    <w:rsid w:val="00791F66"/>
    <w:rsid w:val="007922D7"/>
    <w:rsid w:val="00792949"/>
    <w:rsid w:val="0079355B"/>
    <w:rsid w:val="0079399F"/>
    <w:rsid w:val="00793FAB"/>
    <w:rsid w:val="00794C0F"/>
    <w:rsid w:val="00795716"/>
    <w:rsid w:val="00796066"/>
    <w:rsid w:val="00796832"/>
    <w:rsid w:val="00796C2D"/>
    <w:rsid w:val="007970BE"/>
    <w:rsid w:val="0079776C"/>
    <w:rsid w:val="00797C89"/>
    <w:rsid w:val="00797D46"/>
    <w:rsid w:val="007A05F3"/>
    <w:rsid w:val="007A0D21"/>
    <w:rsid w:val="007A0F1B"/>
    <w:rsid w:val="007A25EC"/>
    <w:rsid w:val="007A280B"/>
    <w:rsid w:val="007A2D61"/>
    <w:rsid w:val="007A3685"/>
    <w:rsid w:val="007A3BA5"/>
    <w:rsid w:val="007A3DC4"/>
    <w:rsid w:val="007A406F"/>
    <w:rsid w:val="007A42D9"/>
    <w:rsid w:val="007A4FE7"/>
    <w:rsid w:val="007A5023"/>
    <w:rsid w:val="007A50F1"/>
    <w:rsid w:val="007A541D"/>
    <w:rsid w:val="007A556E"/>
    <w:rsid w:val="007A69CF"/>
    <w:rsid w:val="007A6CC7"/>
    <w:rsid w:val="007A73B3"/>
    <w:rsid w:val="007A7476"/>
    <w:rsid w:val="007B004F"/>
    <w:rsid w:val="007B08F6"/>
    <w:rsid w:val="007B0D55"/>
    <w:rsid w:val="007B1690"/>
    <w:rsid w:val="007B1E28"/>
    <w:rsid w:val="007B2093"/>
    <w:rsid w:val="007B2F50"/>
    <w:rsid w:val="007B2FC1"/>
    <w:rsid w:val="007B2FEF"/>
    <w:rsid w:val="007B3A56"/>
    <w:rsid w:val="007B4228"/>
    <w:rsid w:val="007B4797"/>
    <w:rsid w:val="007B644D"/>
    <w:rsid w:val="007B6EAE"/>
    <w:rsid w:val="007B6F42"/>
    <w:rsid w:val="007B7748"/>
    <w:rsid w:val="007B7770"/>
    <w:rsid w:val="007C05D0"/>
    <w:rsid w:val="007C077F"/>
    <w:rsid w:val="007C0956"/>
    <w:rsid w:val="007C0AA2"/>
    <w:rsid w:val="007C1377"/>
    <w:rsid w:val="007C1560"/>
    <w:rsid w:val="007C2134"/>
    <w:rsid w:val="007C2355"/>
    <w:rsid w:val="007C23E6"/>
    <w:rsid w:val="007C2636"/>
    <w:rsid w:val="007C28D6"/>
    <w:rsid w:val="007C3241"/>
    <w:rsid w:val="007C34CE"/>
    <w:rsid w:val="007C39B6"/>
    <w:rsid w:val="007C3A98"/>
    <w:rsid w:val="007C43B1"/>
    <w:rsid w:val="007C5E26"/>
    <w:rsid w:val="007C6A66"/>
    <w:rsid w:val="007C6DB4"/>
    <w:rsid w:val="007C6F98"/>
    <w:rsid w:val="007C7107"/>
    <w:rsid w:val="007C782E"/>
    <w:rsid w:val="007C79DD"/>
    <w:rsid w:val="007D27F3"/>
    <w:rsid w:val="007D2EA2"/>
    <w:rsid w:val="007D38EB"/>
    <w:rsid w:val="007D39D2"/>
    <w:rsid w:val="007D3B74"/>
    <w:rsid w:val="007D4062"/>
    <w:rsid w:val="007D489E"/>
    <w:rsid w:val="007D4F69"/>
    <w:rsid w:val="007D57D1"/>
    <w:rsid w:val="007D58E1"/>
    <w:rsid w:val="007D5D05"/>
    <w:rsid w:val="007D5D2D"/>
    <w:rsid w:val="007D6471"/>
    <w:rsid w:val="007D6F4F"/>
    <w:rsid w:val="007D7462"/>
    <w:rsid w:val="007D77B5"/>
    <w:rsid w:val="007D7B74"/>
    <w:rsid w:val="007E0104"/>
    <w:rsid w:val="007E02A7"/>
    <w:rsid w:val="007E03E0"/>
    <w:rsid w:val="007E0910"/>
    <w:rsid w:val="007E0A3A"/>
    <w:rsid w:val="007E0A84"/>
    <w:rsid w:val="007E1217"/>
    <w:rsid w:val="007E1900"/>
    <w:rsid w:val="007E20C6"/>
    <w:rsid w:val="007E2256"/>
    <w:rsid w:val="007E3256"/>
    <w:rsid w:val="007E4E0E"/>
    <w:rsid w:val="007E4FCF"/>
    <w:rsid w:val="007E5320"/>
    <w:rsid w:val="007E5C89"/>
    <w:rsid w:val="007E6048"/>
    <w:rsid w:val="007E7F83"/>
    <w:rsid w:val="007F0361"/>
    <w:rsid w:val="007F0A17"/>
    <w:rsid w:val="007F0AE3"/>
    <w:rsid w:val="007F0F71"/>
    <w:rsid w:val="007F113E"/>
    <w:rsid w:val="007F2390"/>
    <w:rsid w:val="007F2D95"/>
    <w:rsid w:val="007F39B1"/>
    <w:rsid w:val="007F41EA"/>
    <w:rsid w:val="007F4203"/>
    <w:rsid w:val="007F6044"/>
    <w:rsid w:val="007F63CB"/>
    <w:rsid w:val="007F6F06"/>
    <w:rsid w:val="00800395"/>
    <w:rsid w:val="00800804"/>
    <w:rsid w:val="008008CE"/>
    <w:rsid w:val="00801734"/>
    <w:rsid w:val="008017A4"/>
    <w:rsid w:val="00801B95"/>
    <w:rsid w:val="00801D32"/>
    <w:rsid w:val="0080204B"/>
    <w:rsid w:val="00802084"/>
    <w:rsid w:val="008027B6"/>
    <w:rsid w:val="00802C41"/>
    <w:rsid w:val="00802F29"/>
    <w:rsid w:val="0080317B"/>
    <w:rsid w:val="00803916"/>
    <w:rsid w:val="0080409E"/>
    <w:rsid w:val="00807041"/>
    <w:rsid w:val="008103CB"/>
    <w:rsid w:val="008106F9"/>
    <w:rsid w:val="00810B87"/>
    <w:rsid w:val="0081102F"/>
    <w:rsid w:val="0081104A"/>
    <w:rsid w:val="00811170"/>
    <w:rsid w:val="00811A46"/>
    <w:rsid w:val="00811B76"/>
    <w:rsid w:val="00812CBF"/>
    <w:rsid w:val="00812E09"/>
    <w:rsid w:val="008139D6"/>
    <w:rsid w:val="00813EA0"/>
    <w:rsid w:val="00814868"/>
    <w:rsid w:val="008148A1"/>
    <w:rsid w:val="008148E0"/>
    <w:rsid w:val="00814A62"/>
    <w:rsid w:val="00814D2E"/>
    <w:rsid w:val="0081516F"/>
    <w:rsid w:val="00815313"/>
    <w:rsid w:val="0081578B"/>
    <w:rsid w:val="008161C7"/>
    <w:rsid w:val="00816D8A"/>
    <w:rsid w:val="00817958"/>
    <w:rsid w:val="008200A8"/>
    <w:rsid w:val="00820648"/>
    <w:rsid w:val="008211F7"/>
    <w:rsid w:val="008217C6"/>
    <w:rsid w:val="00821DFD"/>
    <w:rsid w:val="00822038"/>
    <w:rsid w:val="00822A59"/>
    <w:rsid w:val="00822C09"/>
    <w:rsid w:val="00823688"/>
    <w:rsid w:val="00823B3C"/>
    <w:rsid w:val="0082425E"/>
    <w:rsid w:val="0082481B"/>
    <w:rsid w:val="00824C6C"/>
    <w:rsid w:val="00824CD3"/>
    <w:rsid w:val="00824D24"/>
    <w:rsid w:val="00825952"/>
    <w:rsid w:val="00825B47"/>
    <w:rsid w:val="0082634D"/>
    <w:rsid w:val="00826BF2"/>
    <w:rsid w:val="008271E0"/>
    <w:rsid w:val="008272C8"/>
    <w:rsid w:val="00827C40"/>
    <w:rsid w:val="00827E9A"/>
    <w:rsid w:val="0083005C"/>
    <w:rsid w:val="00830B7F"/>
    <w:rsid w:val="00831543"/>
    <w:rsid w:val="00831B99"/>
    <w:rsid w:val="00831FEE"/>
    <w:rsid w:val="0083355E"/>
    <w:rsid w:val="00833A32"/>
    <w:rsid w:val="00833E39"/>
    <w:rsid w:val="008345CA"/>
    <w:rsid w:val="008358F4"/>
    <w:rsid w:val="00836B07"/>
    <w:rsid w:val="00836E5D"/>
    <w:rsid w:val="00837220"/>
    <w:rsid w:val="00837CF5"/>
    <w:rsid w:val="00837E55"/>
    <w:rsid w:val="00840AEA"/>
    <w:rsid w:val="008414AA"/>
    <w:rsid w:val="00841820"/>
    <w:rsid w:val="008418B0"/>
    <w:rsid w:val="00842818"/>
    <w:rsid w:val="0084313B"/>
    <w:rsid w:val="0084314D"/>
    <w:rsid w:val="008432F4"/>
    <w:rsid w:val="00843686"/>
    <w:rsid w:val="0084434A"/>
    <w:rsid w:val="008443C6"/>
    <w:rsid w:val="00844618"/>
    <w:rsid w:val="008453AC"/>
    <w:rsid w:val="008456CF"/>
    <w:rsid w:val="008460BD"/>
    <w:rsid w:val="00846391"/>
    <w:rsid w:val="008477AB"/>
    <w:rsid w:val="00847AF6"/>
    <w:rsid w:val="00847CA1"/>
    <w:rsid w:val="00850C67"/>
    <w:rsid w:val="00850CF7"/>
    <w:rsid w:val="0085100F"/>
    <w:rsid w:val="0085104E"/>
    <w:rsid w:val="0085140F"/>
    <w:rsid w:val="008516C1"/>
    <w:rsid w:val="00851AF3"/>
    <w:rsid w:val="00851E40"/>
    <w:rsid w:val="00853D25"/>
    <w:rsid w:val="00854CE4"/>
    <w:rsid w:val="00855015"/>
    <w:rsid w:val="008557A4"/>
    <w:rsid w:val="00855928"/>
    <w:rsid w:val="00855EBA"/>
    <w:rsid w:val="0085611C"/>
    <w:rsid w:val="0085623B"/>
    <w:rsid w:val="008568D5"/>
    <w:rsid w:val="00856C66"/>
    <w:rsid w:val="00856E75"/>
    <w:rsid w:val="0085788C"/>
    <w:rsid w:val="00860661"/>
    <w:rsid w:val="00860A68"/>
    <w:rsid w:val="008612AA"/>
    <w:rsid w:val="00861594"/>
    <w:rsid w:val="00861A5A"/>
    <w:rsid w:val="00861B4C"/>
    <w:rsid w:val="00862B4C"/>
    <w:rsid w:val="00863454"/>
    <w:rsid w:val="00864753"/>
    <w:rsid w:val="008648A9"/>
    <w:rsid w:val="00864C34"/>
    <w:rsid w:val="00865380"/>
    <w:rsid w:val="008653D1"/>
    <w:rsid w:val="00865FB2"/>
    <w:rsid w:val="0086637F"/>
    <w:rsid w:val="0086641C"/>
    <w:rsid w:val="00866527"/>
    <w:rsid w:val="00866B5B"/>
    <w:rsid w:val="00866C09"/>
    <w:rsid w:val="0086743C"/>
    <w:rsid w:val="008677F5"/>
    <w:rsid w:val="00867A2D"/>
    <w:rsid w:val="00867A87"/>
    <w:rsid w:val="00867C62"/>
    <w:rsid w:val="00870694"/>
    <w:rsid w:val="00870B68"/>
    <w:rsid w:val="00871736"/>
    <w:rsid w:val="00871CB6"/>
    <w:rsid w:val="00872C1E"/>
    <w:rsid w:val="00872F0B"/>
    <w:rsid w:val="00874721"/>
    <w:rsid w:val="0087494C"/>
    <w:rsid w:val="00875056"/>
    <w:rsid w:val="00875592"/>
    <w:rsid w:val="0087647C"/>
    <w:rsid w:val="00876914"/>
    <w:rsid w:val="008802F1"/>
    <w:rsid w:val="00881111"/>
    <w:rsid w:val="00881AC5"/>
    <w:rsid w:val="00881F8E"/>
    <w:rsid w:val="00881F8F"/>
    <w:rsid w:val="00882427"/>
    <w:rsid w:val="0088335D"/>
    <w:rsid w:val="0088418C"/>
    <w:rsid w:val="00885009"/>
    <w:rsid w:val="0088533A"/>
    <w:rsid w:val="0088598B"/>
    <w:rsid w:val="0088650C"/>
    <w:rsid w:val="008865CD"/>
    <w:rsid w:val="0088770D"/>
    <w:rsid w:val="00887D7C"/>
    <w:rsid w:val="00887FFB"/>
    <w:rsid w:val="008900D8"/>
    <w:rsid w:val="00890E32"/>
    <w:rsid w:val="0089174A"/>
    <w:rsid w:val="008917B0"/>
    <w:rsid w:val="008929BD"/>
    <w:rsid w:val="00892A1E"/>
    <w:rsid w:val="00892A59"/>
    <w:rsid w:val="0089313F"/>
    <w:rsid w:val="0089377B"/>
    <w:rsid w:val="00893D7C"/>
    <w:rsid w:val="0089449B"/>
    <w:rsid w:val="008944F9"/>
    <w:rsid w:val="0089520C"/>
    <w:rsid w:val="00895213"/>
    <w:rsid w:val="0089586C"/>
    <w:rsid w:val="008958A3"/>
    <w:rsid w:val="00895A23"/>
    <w:rsid w:val="0089628D"/>
    <w:rsid w:val="00897086"/>
    <w:rsid w:val="00897AF1"/>
    <w:rsid w:val="00897BE4"/>
    <w:rsid w:val="008A249A"/>
    <w:rsid w:val="008A315B"/>
    <w:rsid w:val="008A3E49"/>
    <w:rsid w:val="008A467C"/>
    <w:rsid w:val="008A549D"/>
    <w:rsid w:val="008A5A56"/>
    <w:rsid w:val="008A5DF4"/>
    <w:rsid w:val="008A5E23"/>
    <w:rsid w:val="008A6023"/>
    <w:rsid w:val="008A6121"/>
    <w:rsid w:val="008A6873"/>
    <w:rsid w:val="008B03EE"/>
    <w:rsid w:val="008B090D"/>
    <w:rsid w:val="008B093C"/>
    <w:rsid w:val="008B1206"/>
    <w:rsid w:val="008B1403"/>
    <w:rsid w:val="008B1910"/>
    <w:rsid w:val="008B1E60"/>
    <w:rsid w:val="008B2DDF"/>
    <w:rsid w:val="008B2EB8"/>
    <w:rsid w:val="008B3FCF"/>
    <w:rsid w:val="008B498D"/>
    <w:rsid w:val="008B4DAB"/>
    <w:rsid w:val="008B602A"/>
    <w:rsid w:val="008B72BA"/>
    <w:rsid w:val="008B733B"/>
    <w:rsid w:val="008C0C61"/>
    <w:rsid w:val="008C0F0B"/>
    <w:rsid w:val="008C1813"/>
    <w:rsid w:val="008C29F1"/>
    <w:rsid w:val="008C2EF1"/>
    <w:rsid w:val="008C3544"/>
    <w:rsid w:val="008C35E9"/>
    <w:rsid w:val="008C37DF"/>
    <w:rsid w:val="008C4BBE"/>
    <w:rsid w:val="008C4C63"/>
    <w:rsid w:val="008C61D9"/>
    <w:rsid w:val="008C67AE"/>
    <w:rsid w:val="008C67BE"/>
    <w:rsid w:val="008C6C8E"/>
    <w:rsid w:val="008C7210"/>
    <w:rsid w:val="008D0CD5"/>
    <w:rsid w:val="008D0F8B"/>
    <w:rsid w:val="008D1848"/>
    <w:rsid w:val="008D1EF9"/>
    <w:rsid w:val="008D2192"/>
    <w:rsid w:val="008D21A3"/>
    <w:rsid w:val="008D32BA"/>
    <w:rsid w:val="008D34E5"/>
    <w:rsid w:val="008D3713"/>
    <w:rsid w:val="008D3837"/>
    <w:rsid w:val="008D45C5"/>
    <w:rsid w:val="008D4788"/>
    <w:rsid w:val="008D47C2"/>
    <w:rsid w:val="008D4CC7"/>
    <w:rsid w:val="008D4CD7"/>
    <w:rsid w:val="008D4D2B"/>
    <w:rsid w:val="008D4E9A"/>
    <w:rsid w:val="008D514A"/>
    <w:rsid w:val="008D5434"/>
    <w:rsid w:val="008D6A50"/>
    <w:rsid w:val="008D6ED1"/>
    <w:rsid w:val="008E0549"/>
    <w:rsid w:val="008E0570"/>
    <w:rsid w:val="008E09CA"/>
    <w:rsid w:val="008E4A14"/>
    <w:rsid w:val="008E5563"/>
    <w:rsid w:val="008E5583"/>
    <w:rsid w:val="008E6491"/>
    <w:rsid w:val="008E681C"/>
    <w:rsid w:val="008E6971"/>
    <w:rsid w:val="008F04D5"/>
    <w:rsid w:val="008F0EAF"/>
    <w:rsid w:val="008F1A75"/>
    <w:rsid w:val="008F1B45"/>
    <w:rsid w:val="008F214A"/>
    <w:rsid w:val="008F3731"/>
    <w:rsid w:val="008F440E"/>
    <w:rsid w:val="008F460C"/>
    <w:rsid w:val="008F4A99"/>
    <w:rsid w:val="008F4D34"/>
    <w:rsid w:val="008F5305"/>
    <w:rsid w:val="008F6A2B"/>
    <w:rsid w:val="008F74D5"/>
    <w:rsid w:val="00900DCB"/>
    <w:rsid w:val="00901270"/>
    <w:rsid w:val="00901C27"/>
    <w:rsid w:val="00902B8A"/>
    <w:rsid w:val="00902DD0"/>
    <w:rsid w:val="00903419"/>
    <w:rsid w:val="00903C22"/>
    <w:rsid w:val="00905283"/>
    <w:rsid w:val="00905D54"/>
    <w:rsid w:val="00905E36"/>
    <w:rsid w:val="009069D7"/>
    <w:rsid w:val="00906C7B"/>
    <w:rsid w:val="00907463"/>
    <w:rsid w:val="009079E9"/>
    <w:rsid w:val="009102E0"/>
    <w:rsid w:val="009108B6"/>
    <w:rsid w:val="00910A91"/>
    <w:rsid w:val="00910DD4"/>
    <w:rsid w:val="00911A2D"/>
    <w:rsid w:val="00912A23"/>
    <w:rsid w:val="00913F43"/>
    <w:rsid w:val="00915D7C"/>
    <w:rsid w:val="00915E6F"/>
    <w:rsid w:val="00917031"/>
    <w:rsid w:val="00920336"/>
    <w:rsid w:val="009204B2"/>
    <w:rsid w:val="00920ABE"/>
    <w:rsid w:val="00920B39"/>
    <w:rsid w:val="00921857"/>
    <w:rsid w:val="00921A87"/>
    <w:rsid w:val="00921CC4"/>
    <w:rsid w:val="009220C0"/>
    <w:rsid w:val="009224B7"/>
    <w:rsid w:val="00922A54"/>
    <w:rsid w:val="009231BE"/>
    <w:rsid w:val="0092354A"/>
    <w:rsid w:val="00923CBF"/>
    <w:rsid w:val="00923F42"/>
    <w:rsid w:val="009241E6"/>
    <w:rsid w:val="00924253"/>
    <w:rsid w:val="0092468B"/>
    <w:rsid w:val="009247A7"/>
    <w:rsid w:val="00924E5D"/>
    <w:rsid w:val="00925937"/>
    <w:rsid w:val="009268C1"/>
    <w:rsid w:val="00926F58"/>
    <w:rsid w:val="00926FD4"/>
    <w:rsid w:val="009270D2"/>
    <w:rsid w:val="009272A9"/>
    <w:rsid w:val="009272C7"/>
    <w:rsid w:val="00927FD9"/>
    <w:rsid w:val="0093032C"/>
    <w:rsid w:val="00930D9E"/>
    <w:rsid w:val="009311FF"/>
    <w:rsid w:val="009313FA"/>
    <w:rsid w:val="00931D21"/>
    <w:rsid w:val="00932ADE"/>
    <w:rsid w:val="00932D54"/>
    <w:rsid w:val="00933B63"/>
    <w:rsid w:val="009345AE"/>
    <w:rsid w:val="00934C67"/>
    <w:rsid w:val="00934FEE"/>
    <w:rsid w:val="0093570E"/>
    <w:rsid w:val="00935839"/>
    <w:rsid w:val="00935E02"/>
    <w:rsid w:val="00936305"/>
    <w:rsid w:val="0093636D"/>
    <w:rsid w:val="00936B85"/>
    <w:rsid w:val="00936D50"/>
    <w:rsid w:val="00936EE8"/>
    <w:rsid w:val="009376FF"/>
    <w:rsid w:val="00941116"/>
    <w:rsid w:val="009420CA"/>
    <w:rsid w:val="00943070"/>
    <w:rsid w:val="00943251"/>
    <w:rsid w:val="009446CD"/>
    <w:rsid w:val="00945667"/>
    <w:rsid w:val="00946713"/>
    <w:rsid w:val="00946AF7"/>
    <w:rsid w:val="00946B90"/>
    <w:rsid w:val="00947ED0"/>
    <w:rsid w:val="00950417"/>
    <w:rsid w:val="00950C50"/>
    <w:rsid w:val="00951262"/>
    <w:rsid w:val="00951B93"/>
    <w:rsid w:val="00952B38"/>
    <w:rsid w:val="00953713"/>
    <w:rsid w:val="00954FC8"/>
    <w:rsid w:val="00955D06"/>
    <w:rsid w:val="00956077"/>
    <w:rsid w:val="00957C44"/>
    <w:rsid w:val="00957F96"/>
    <w:rsid w:val="009608F5"/>
    <w:rsid w:val="00961B14"/>
    <w:rsid w:val="009623CA"/>
    <w:rsid w:val="0096258E"/>
    <w:rsid w:val="00962B52"/>
    <w:rsid w:val="00963A6F"/>
    <w:rsid w:val="00964200"/>
    <w:rsid w:val="00965010"/>
    <w:rsid w:val="00965DEF"/>
    <w:rsid w:val="0096730A"/>
    <w:rsid w:val="009675C9"/>
    <w:rsid w:val="00967605"/>
    <w:rsid w:val="00970000"/>
    <w:rsid w:val="0097035E"/>
    <w:rsid w:val="00970480"/>
    <w:rsid w:val="00971889"/>
    <w:rsid w:val="00971F79"/>
    <w:rsid w:val="00973CB7"/>
    <w:rsid w:val="0097405F"/>
    <w:rsid w:val="009747AE"/>
    <w:rsid w:val="00974AC0"/>
    <w:rsid w:val="00974E83"/>
    <w:rsid w:val="00975ABA"/>
    <w:rsid w:val="00975FC8"/>
    <w:rsid w:val="009766C0"/>
    <w:rsid w:val="009766C5"/>
    <w:rsid w:val="009779FA"/>
    <w:rsid w:val="00977C47"/>
    <w:rsid w:val="00980390"/>
    <w:rsid w:val="00980AAF"/>
    <w:rsid w:val="00981ECC"/>
    <w:rsid w:val="009820B0"/>
    <w:rsid w:val="0098286E"/>
    <w:rsid w:val="009829A4"/>
    <w:rsid w:val="00982EA2"/>
    <w:rsid w:val="00982F10"/>
    <w:rsid w:val="00983086"/>
    <w:rsid w:val="009834AE"/>
    <w:rsid w:val="00983DF8"/>
    <w:rsid w:val="00984D51"/>
    <w:rsid w:val="00985463"/>
    <w:rsid w:val="009855AE"/>
    <w:rsid w:val="0098617F"/>
    <w:rsid w:val="00986233"/>
    <w:rsid w:val="009866D8"/>
    <w:rsid w:val="00986BEE"/>
    <w:rsid w:val="009873EC"/>
    <w:rsid w:val="00987CD2"/>
    <w:rsid w:val="00990556"/>
    <w:rsid w:val="00991BAA"/>
    <w:rsid w:val="00992218"/>
    <w:rsid w:val="009922C5"/>
    <w:rsid w:val="00992524"/>
    <w:rsid w:val="00992955"/>
    <w:rsid w:val="0099344E"/>
    <w:rsid w:val="0099396E"/>
    <w:rsid w:val="00993E9A"/>
    <w:rsid w:val="00996037"/>
    <w:rsid w:val="00996A6F"/>
    <w:rsid w:val="00996D68"/>
    <w:rsid w:val="009A0A14"/>
    <w:rsid w:val="009A0BC5"/>
    <w:rsid w:val="009A1591"/>
    <w:rsid w:val="009A2382"/>
    <w:rsid w:val="009A3DA8"/>
    <w:rsid w:val="009A44B0"/>
    <w:rsid w:val="009A4B9C"/>
    <w:rsid w:val="009A4F99"/>
    <w:rsid w:val="009A624E"/>
    <w:rsid w:val="009A6401"/>
    <w:rsid w:val="009A6485"/>
    <w:rsid w:val="009A6E3C"/>
    <w:rsid w:val="009A6EBB"/>
    <w:rsid w:val="009A7711"/>
    <w:rsid w:val="009A7B09"/>
    <w:rsid w:val="009B04D7"/>
    <w:rsid w:val="009B06B6"/>
    <w:rsid w:val="009B08A8"/>
    <w:rsid w:val="009B0926"/>
    <w:rsid w:val="009B0EB2"/>
    <w:rsid w:val="009B0FED"/>
    <w:rsid w:val="009B134B"/>
    <w:rsid w:val="009B13BA"/>
    <w:rsid w:val="009B159F"/>
    <w:rsid w:val="009B195F"/>
    <w:rsid w:val="009B1A78"/>
    <w:rsid w:val="009B31FE"/>
    <w:rsid w:val="009B329F"/>
    <w:rsid w:val="009B338D"/>
    <w:rsid w:val="009B4A7E"/>
    <w:rsid w:val="009B50A5"/>
    <w:rsid w:val="009B57AB"/>
    <w:rsid w:val="009B610D"/>
    <w:rsid w:val="009B73C6"/>
    <w:rsid w:val="009B7A6C"/>
    <w:rsid w:val="009B7F71"/>
    <w:rsid w:val="009C0094"/>
    <w:rsid w:val="009C04A5"/>
    <w:rsid w:val="009C17CB"/>
    <w:rsid w:val="009C194B"/>
    <w:rsid w:val="009C236A"/>
    <w:rsid w:val="009C23CD"/>
    <w:rsid w:val="009C266C"/>
    <w:rsid w:val="009C350D"/>
    <w:rsid w:val="009C3AF7"/>
    <w:rsid w:val="009C3B94"/>
    <w:rsid w:val="009C3BA7"/>
    <w:rsid w:val="009C3CC2"/>
    <w:rsid w:val="009C4651"/>
    <w:rsid w:val="009C4D6C"/>
    <w:rsid w:val="009C4F51"/>
    <w:rsid w:val="009C59E1"/>
    <w:rsid w:val="009C5B8A"/>
    <w:rsid w:val="009C5DCC"/>
    <w:rsid w:val="009D2CF5"/>
    <w:rsid w:val="009D3058"/>
    <w:rsid w:val="009D3CDA"/>
    <w:rsid w:val="009D41BF"/>
    <w:rsid w:val="009D41F7"/>
    <w:rsid w:val="009D446B"/>
    <w:rsid w:val="009D4C96"/>
    <w:rsid w:val="009D4DDA"/>
    <w:rsid w:val="009D6021"/>
    <w:rsid w:val="009D7426"/>
    <w:rsid w:val="009E155A"/>
    <w:rsid w:val="009E1718"/>
    <w:rsid w:val="009E192C"/>
    <w:rsid w:val="009E1F1D"/>
    <w:rsid w:val="009E2A49"/>
    <w:rsid w:val="009E3610"/>
    <w:rsid w:val="009E3860"/>
    <w:rsid w:val="009E3FCF"/>
    <w:rsid w:val="009E472F"/>
    <w:rsid w:val="009E564D"/>
    <w:rsid w:val="009E58C8"/>
    <w:rsid w:val="009E6EFD"/>
    <w:rsid w:val="009E72E0"/>
    <w:rsid w:val="009E7680"/>
    <w:rsid w:val="009F033D"/>
    <w:rsid w:val="009F1474"/>
    <w:rsid w:val="009F243B"/>
    <w:rsid w:val="009F2B3C"/>
    <w:rsid w:val="009F2C0E"/>
    <w:rsid w:val="009F359E"/>
    <w:rsid w:val="009F45AC"/>
    <w:rsid w:val="009F46F2"/>
    <w:rsid w:val="009F50BB"/>
    <w:rsid w:val="009F61F5"/>
    <w:rsid w:val="009F7288"/>
    <w:rsid w:val="009F758A"/>
    <w:rsid w:val="009F7CE6"/>
    <w:rsid w:val="009F7FE7"/>
    <w:rsid w:val="00A0049D"/>
    <w:rsid w:val="00A009A4"/>
    <w:rsid w:val="00A0539C"/>
    <w:rsid w:val="00A05568"/>
    <w:rsid w:val="00A05784"/>
    <w:rsid w:val="00A06BC5"/>
    <w:rsid w:val="00A06EF1"/>
    <w:rsid w:val="00A07254"/>
    <w:rsid w:val="00A079FB"/>
    <w:rsid w:val="00A102D4"/>
    <w:rsid w:val="00A10FC3"/>
    <w:rsid w:val="00A11D67"/>
    <w:rsid w:val="00A13174"/>
    <w:rsid w:val="00A133B8"/>
    <w:rsid w:val="00A134E5"/>
    <w:rsid w:val="00A136FD"/>
    <w:rsid w:val="00A13ABB"/>
    <w:rsid w:val="00A15318"/>
    <w:rsid w:val="00A15456"/>
    <w:rsid w:val="00A15491"/>
    <w:rsid w:val="00A1590E"/>
    <w:rsid w:val="00A15938"/>
    <w:rsid w:val="00A15A8D"/>
    <w:rsid w:val="00A15CCF"/>
    <w:rsid w:val="00A16AF7"/>
    <w:rsid w:val="00A16C18"/>
    <w:rsid w:val="00A175C2"/>
    <w:rsid w:val="00A175FD"/>
    <w:rsid w:val="00A179EA"/>
    <w:rsid w:val="00A20061"/>
    <w:rsid w:val="00A20707"/>
    <w:rsid w:val="00A207A5"/>
    <w:rsid w:val="00A20AD4"/>
    <w:rsid w:val="00A2249C"/>
    <w:rsid w:val="00A23327"/>
    <w:rsid w:val="00A24C9E"/>
    <w:rsid w:val="00A24E21"/>
    <w:rsid w:val="00A24F92"/>
    <w:rsid w:val="00A251D5"/>
    <w:rsid w:val="00A25291"/>
    <w:rsid w:val="00A254D6"/>
    <w:rsid w:val="00A25746"/>
    <w:rsid w:val="00A25828"/>
    <w:rsid w:val="00A25F52"/>
    <w:rsid w:val="00A26D38"/>
    <w:rsid w:val="00A27347"/>
    <w:rsid w:val="00A27A4D"/>
    <w:rsid w:val="00A27D89"/>
    <w:rsid w:val="00A27E4C"/>
    <w:rsid w:val="00A3162C"/>
    <w:rsid w:val="00A316FB"/>
    <w:rsid w:val="00A31E90"/>
    <w:rsid w:val="00A31FA2"/>
    <w:rsid w:val="00A32DCC"/>
    <w:rsid w:val="00A33025"/>
    <w:rsid w:val="00A333BD"/>
    <w:rsid w:val="00A3437D"/>
    <w:rsid w:val="00A344C2"/>
    <w:rsid w:val="00A35479"/>
    <w:rsid w:val="00A35B8F"/>
    <w:rsid w:val="00A35F59"/>
    <w:rsid w:val="00A36685"/>
    <w:rsid w:val="00A36759"/>
    <w:rsid w:val="00A36DB5"/>
    <w:rsid w:val="00A400DD"/>
    <w:rsid w:val="00A41023"/>
    <w:rsid w:val="00A4115A"/>
    <w:rsid w:val="00A438AF"/>
    <w:rsid w:val="00A439B5"/>
    <w:rsid w:val="00A43A1F"/>
    <w:rsid w:val="00A43D30"/>
    <w:rsid w:val="00A43D9C"/>
    <w:rsid w:val="00A4449F"/>
    <w:rsid w:val="00A44E12"/>
    <w:rsid w:val="00A452B3"/>
    <w:rsid w:val="00A4530C"/>
    <w:rsid w:val="00A45C38"/>
    <w:rsid w:val="00A46572"/>
    <w:rsid w:val="00A47531"/>
    <w:rsid w:val="00A47973"/>
    <w:rsid w:val="00A5108F"/>
    <w:rsid w:val="00A5132D"/>
    <w:rsid w:val="00A51D96"/>
    <w:rsid w:val="00A526AA"/>
    <w:rsid w:val="00A52EE9"/>
    <w:rsid w:val="00A52FF1"/>
    <w:rsid w:val="00A53DFD"/>
    <w:rsid w:val="00A54179"/>
    <w:rsid w:val="00A561A6"/>
    <w:rsid w:val="00A569CF"/>
    <w:rsid w:val="00A57551"/>
    <w:rsid w:val="00A57D5E"/>
    <w:rsid w:val="00A601B9"/>
    <w:rsid w:val="00A60B28"/>
    <w:rsid w:val="00A60D88"/>
    <w:rsid w:val="00A611E8"/>
    <w:rsid w:val="00A6194B"/>
    <w:rsid w:val="00A61A6E"/>
    <w:rsid w:val="00A62048"/>
    <w:rsid w:val="00A623BF"/>
    <w:rsid w:val="00A633A2"/>
    <w:rsid w:val="00A65307"/>
    <w:rsid w:val="00A656A4"/>
    <w:rsid w:val="00A6572F"/>
    <w:rsid w:val="00A65A18"/>
    <w:rsid w:val="00A65A2D"/>
    <w:rsid w:val="00A65B3C"/>
    <w:rsid w:val="00A67BA2"/>
    <w:rsid w:val="00A67D54"/>
    <w:rsid w:val="00A7005C"/>
    <w:rsid w:val="00A70A8A"/>
    <w:rsid w:val="00A7154D"/>
    <w:rsid w:val="00A722E3"/>
    <w:rsid w:val="00A7248A"/>
    <w:rsid w:val="00A72AC8"/>
    <w:rsid w:val="00A73371"/>
    <w:rsid w:val="00A73452"/>
    <w:rsid w:val="00A73AC6"/>
    <w:rsid w:val="00A73F4A"/>
    <w:rsid w:val="00A744E3"/>
    <w:rsid w:val="00A755FA"/>
    <w:rsid w:val="00A75BAF"/>
    <w:rsid w:val="00A80635"/>
    <w:rsid w:val="00A807FD"/>
    <w:rsid w:val="00A80B82"/>
    <w:rsid w:val="00A818E3"/>
    <w:rsid w:val="00A837EB"/>
    <w:rsid w:val="00A83AFD"/>
    <w:rsid w:val="00A83BC1"/>
    <w:rsid w:val="00A8414F"/>
    <w:rsid w:val="00A847F4"/>
    <w:rsid w:val="00A85055"/>
    <w:rsid w:val="00A85068"/>
    <w:rsid w:val="00A85A0D"/>
    <w:rsid w:val="00A85CCB"/>
    <w:rsid w:val="00A85D62"/>
    <w:rsid w:val="00A86BCB"/>
    <w:rsid w:val="00A87B60"/>
    <w:rsid w:val="00A9134E"/>
    <w:rsid w:val="00A92A17"/>
    <w:rsid w:val="00A93963"/>
    <w:rsid w:val="00A93AC3"/>
    <w:rsid w:val="00A9438A"/>
    <w:rsid w:val="00A9467C"/>
    <w:rsid w:val="00A9545A"/>
    <w:rsid w:val="00A958FA"/>
    <w:rsid w:val="00A9636D"/>
    <w:rsid w:val="00A97509"/>
    <w:rsid w:val="00A9789E"/>
    <w:rsid w:val="00AA0CFF"/>
    <w:rsid w:val="00AA12AF"/>
    <w:rsid w:val="00AA1783"/>
    <w:rsid w:val="00AA1E50"/>
    <w:rsid w:val="00AA1E7B"/>
    <w:rsid w:val="00AA3716"/>
    <w:rsid w:val="00AA3E8B"/>
    <w:rsid w:val="00AA400A"/>
    <w:rsid w:val="00AA4C6C"/>
    <w:rsid w:val="00AA4CA3"/>
    <w:rsid w:val="00AA4E20"/>
    <w:rsid w:val="00AA5AB4"/>
    <w:rsid w:val="00AA5E88"/>
    <w:rsid w:val="00AA68F5"/>
    <w:rsid w:val="00AA6C9F"/>
    <w:rsid w:val="00AA6FA5"/>
    <w:rsid w:val="00AA7643"/>
    <w:rsid w:val="00AA7E0D"/>
    <w:rsid w:val="00AB20D0"/>
    <w:rsid w:val="00AB25DF"/>
    <w:rsid w:val="00AB3870"/>
    <w:rsid w:val="00AB3AB2"/>
    <w:rsid w:val="00AB3C24"/>
    <w:rsid w:val="00AB423B"/>
    <w:rsid w:val="00AB4AAC"/>
    <w:rsid w:val="00AB4DE6"/>
    <w:rsid w:val="00AB531C"/>
    <w:rsid w:val="00AB5E39"/>
    <w:rsid w:val="00AB5F24"/>
    <w:rsid w:val="00AB708E"/>
    <w:rsid w:val="00AB7454"/>
    <w:rsid w:val="00AC025E"/>
    <w:rsid w:val="00AC1975"/>
    <w:rsid w:val="00AC1BBA"/>
    <w:rsid w:val="00AC2411"/>
    <w:rsid w:val="00AC25E8"/>
    <w:rsid w:val="00AC295C"/>
    <w:rsid w:val="00AC356A"/>
    <w:rsid w:val="00AC3F65"/>
    <w:rsid w:val="00AC4B72"/>
    <w:rsid w:val="00AC5002"/>
    <w:rsid w:val="00AC549D"/>
    <w:rsid w:val="00AC5999"/>
    <w:rsid w:val="00AC5D8D"/>
    <w:rsid w:val="00AC61D4"/>
    <w:rsid w:val="00AC6320"/>
    <w:rsid w:val="00AC6DFA"/>
    <w:rsid w:val="00AC733B"/>
    <w:rsid w:val="00AC73F8"/>
    <w:rsid w:val="00AD0190"/>
    <w:rsid w:val="00AD020E"/>
    <w:rsid w:val="00AD04E5"/>
    <w:rsid w:val="00AD0627"/>
    <w:rsid w:val="00AD09EA"/>
    <w:rsid w:val="00AD0B56"/>
    <w:rsid w:val="00AD0FE8"/>
    <w:rsid w:val="00AD143A"/>
    <w:rsid w:val="00AD172D"/>
    <w:rsid w:val="00AD1A32"/>
    <w:rsid w:val="00AD21BE"/>
    <w:rsid w:val="00AD27A3"/>
    <w:rsid w:val="00AD2E7A"/>
    <w:rsid w:val="00AD35D2"/>
    <w:rsid w:val="00AD4AEF"/>
    <w:rsid w:val="00AD4CE1"/>
    <w:rsid w:val="00AD5FA0"/>
    <w:rsid w:val="00AD6510"/>
    <w:rsid w:val="00AD7C6D"/>
    <w:rsid w:val="00AE0047"/>
    <w:rsid w:val="00AE0246"/>
    <w:rsid w:val="00AE0632"/>
    <w:rsid w:val="00AE0BCD"/>
    <w:rsid w:val="00AE1B6D"/>
    <w:rsid w:val="00AE1E49"/>
    <w:rsid w:val="00AE1F22"/>
    <w:rsid w:val="00AE23DB"/>
    <w:rsid w:val="00AE33E2"/>
    <w:rsid w:val="00AE3B9D"/>
    <w:rsid w:val="00AE4CD0"/>
    <w:rsid w:val="00AE5304"/>
    <w:rsid w:val="00AE6A71"/>
    <w:rsid w:val="00AF117D"/>
    <w:rsid w:val="00AF13AE"/>
    <w:rsid w:val="00AF1FFF"/>
    <w:rsid w:val="00AF3154"/>
    <w:rsid w:val="00AF3BA5"/>
    <w:rsid w:val="00AF3E92"/>
    <w:rsid w:val="00AF4366"/>
    <w:rsid w:val="00AF4B5E"/>
    <w:rsid w:val="00AF5B67"/>
    <w:rsid w:val="00AF61EF"/>
    <w:rsid w:val="00AF664E"/>
    <w:rsid w:val="00AF73A5"/>
    <w:rsid w:val="00AF7C25"/>
    <w:rsid w:val="00B00AFC"/>
    <w:rsid w:val="00B01480"/>
    <w:rsid w:val="00B015FB"/>
    <w:rsid w:val="00B01E07"/>
    <w:rsid w:val="00B0294D"/>
    <w:rsid w:val="00B02EEF"/>
    <w:rsid w:val="00B035DB"/>
    <w:rsid w:val="00B03791"/>
    <w:rsid w:val="00B061EE"/>
    <w:rsid w:val="00B06DAF"/>
    <w:rsid w:val="00B1009D"/>
    <w:rsid w:val="00B103DE"/>
    <w:rsid w:val="00B10461"/>
    <w:rsid w:val="00B10A7C"/>
    <w:rsid w:val="00B10C5B"/>
    <w:rsid w:val="00B126D6"/>
    <w:rsid w:val="00B12868"/>
    <w:rsid w:val="00B12BE6"/>
    <w:rsid w:val="00B1328F"/>
    <w:rsid w:val="00B14946"/>
    <w:rsid w:val="00B15047"/>
    <w:rsid w:val="00B15C8A"/>
    <w:rsid w:val="00B16C95"/>
    <w:rsid w:val="00B17671"/>
    <w:rsid w:val="00B1778D"/>
    <w:rsid w:val="00B20A4A"/>
    <w:rsid w:val="00B23400"/>
    <w:rsid w:val="00B234B5"/>
    <w:rsid w:val="00B236F6"/>
    <w:rsid w:val="00B24495"/>
    <w:rsid w:val="00B248A9"/>
    <w:rsid w:val="00B24CEF"/>
    <w:rsid w:val="00B2601B"/>
    <w:rsid w:val="00B26957"/>
    <w:rsid w:val="00B26F36"/>
    <w:rsid w:val="00B26F5A"/>
    <w:rsid w:val="00B27A4F"/>
    <w:rsid w:val="00B30609"/>
    <w:rsid w:val="00B3083E"/>
    <w:rsid w:val="00B31BA4"/>
    <w:rsid w:val="00B31BC9"/>
    <w:rsid w:val="00B33096"/>
    <w:rsid w:val="00B3344C"/>
    <w:rsid w:val="00B339AA"/>
    <w:rsid w:val="00B341B0"/>
    <w:rsid w:val="00B3438D"/>
    <w:rsid w:val="00B34EAE"/>
    <w:rsid w:val="00B34EBD"/>
    <w:rsid w:val="00B35D61"/>
    <w:rsid w:val="00B3725A"/>
    <w:rsid w:val="00B37DFB"/>
    <w:rsid w:val="00B404D5"/>
    <w:rsid w:val="00B40AC4"/>
    <w:rsid w:val="00B40AFC"/>
    <w:rsid w:val="00B41F15"/>
    <w:rsid w:val="00B42EC7"/>
    <w:rsid w:val="00B43615"/>
    <w:rsid w:val="00B4468F"/>
    <w:rsid w:val="00B462D7"/>
    <w:rsid w:val="00B46408"/>
    <w:rsid w:val="00B465C2"/>
    <w:rsid w:val="00B471E1"/>
    <w:rsid w:val="00B47432"/>
    <w:rsid w:val="00B479C3"/>
    <w:rsid w:val="00B47D8C"/>
    <w:rsid w:val="00B50C87"/>
    <w:rsid w:val="00B51EC2"/>
    <w:rsid w:val="00B523AC"/>
    <w:rsid w:val="00B52508"/>
    <w:rsid w:val="00B53C81"/>
    <w:rsid w:val="00B542C3"/>
    <w:rsid w:val="00B55889"/>
    <w:rsid w:val="00B55B9A"/>
    <w:rsid w:val="00B55F5F"/>
    <w:rsid w:val="00B56162"/>
    <w:rsid w:val="00B567C5"/>
    <w:rsid w:val="00B571CC"/>
    <w:rsid w:val="00B571E5"/>
    <w:rsid w:val="00B57218"/>
    <w:rsid w:val="00B57383"/>
    <w:rsid w:val="00B601EC"/>
    <w:rsid w:val="00B60839"/>
    <w:rsid w:val="00B60A1A"/>
    <w:rsid w:val="00B62DCF"/>
    <w:rsid w:val="00B63213"/>
    <w:rsid w:val="00B63595"/>
    <w:rsid w:val="00B638D0"/>
    <w:rsid w:val="00B63E96"/>
    <w:rsid w:val="00B64E3E"/>
    <w:rsid w:val="00B66072"/>
    <w:rsid w:val="00B6619F"/>
    <w:rsid w:val="00B667D8"/>
    <w:rsid w:val="00B67004"/>
    <w:rsid w:val="00B6728E"/>
    <w:rsid w:val="00B677DF"/>
    <w:rsid w:val="00B703FE"/>
    <w:rsid w:val="00B71FC5"/>
    <w:rsid w:val="00B7256B"/>
    <w:rsid w:val="00B730E6"/>
    <w:rsid w:val="00B73498"/>
    <w:rsid w:val="00B734A4"/>
    <w:rsid w:val="00B74517"/>
    <w:rsid w:val="00B747B7"/>
    <w:rsid w:val="00B74A5F"/>
    <w:rsid w:val="00B762F6"/>
    <w:rsid w:val="00B76441"/>
    <w:rsid w:val="00B76B1E"/>
    <w:rsid w:val="00B77246"/>
    <w:rsid w:val="00B77995"/>
    <w:rsid w:val="00B8025A"/>
    <w:rsid w:val="00B80961"/>
    <w:rsid w:val="00B8158E"/>
    <w:rsid w:val="00B824DD"/>
    <w:rsid w:val="00B834F9"/>
    <w:rsid w:val="00B849F1"/>
    <w:rsid w:val="00B84DC9"/>
    <w:rsid w:val="00B84FB0"/>
    <w:rsid w:val="00B85777"/>
    <w:rsid w:val="00B86184"/>
    <w:rsid w:val="00B86AC7"/>
    <w:rsid w:val="00B86DF5"/>
    <w:rsid w:val="00B870DB"/>
    <w:rsid w:val="00B879E7"/>
    <w:rsid w:val="00B87B20"/>
    <w:rsid w:val="00B911B0"/>
    <w:rsid w:val="00B92A0B"/>
    <w:rsid w:val="00B94717"/>
    <w:rsid w:val="00B948FB"/>
    <w:rsid w:val="00B94FDC"/>
    <w:rsid w:val="00B95941"/>
    <w:rsid w:val="00B95B63"/>
    <w:rsid w:val="00B9632A"/>
    <w:rsid w:val="00B96A89"/>
    <w:rsid w:val="00B97DF7"/>
    <w:rsid w:val="00BA011C"/>
    <w:rsid w:val="00BA03D7"/>
    <w:rsid w:val="00BA044A"/>
    <w:rsid w:val="00BA0B84"/>
    <w:rsid w:val="00BA0C03"/>
    <w:rsid w:val="00BA0DD9"/>
    <w:rsid w:val="00BA0FD6"/>
    <w:rsid w:val="00BA1642"/>
    <w:rsid w:val="00BA1B82"/>
    <w:rsid w:val="00BA30E2"/>
    <w:rsid w:val="00BA367D"/>
    <w:rsid w:val="00BA3985"/>
    <w:rsid w:val="00BA3D8C"/>
    <w:rsid w:val="00BA401D"/>
    <w:rsid w:val="00BA47AC"/>
    <w:rsid w:val="00BA4B9C"/>
    <w:rsid w:val="00BA67C5"/>
    <w:rsid w:val="00BA6C4D"/>
    <w:rsid w:val="00BA6EC3"/>
    <w:rsid w:val="00BA71EA"/>
    <w:rsid w:val="00BA776C"/>
    <w:rsid w:val="00BA7B0D"/>
    <w:rsid w:val="00BA7F77"/>
    <w:rsid w:val="00BB05CF"/>
    <w:rsid w:val="00BB0776"/>
    <w:rsid w:val="00BB18F1"/>
    <w:rsid w:val="00BB210C"/>
    <w:rsid w:val="00BB2FA9"/>
    <w:rsid w:val="00BB2FAA"/>
    <w:rsid w:val="00BB32E7"/>
    <w:rsid w:val="00BB3820"/>
    <w:rsid w:val="00BB41CB"/>
    <w:rsid w:val="00BB485D"/>
    <w:rsid w:val="00BB494D"/>
    <w:rsid w:val="00BB4A03"/>
    <w:rsid w:val="00BB5897"/>
    <w:rsid w:val="00BB623B"/>
    <w:rsid w:val="00BB65AF"/>
    <w:rsid w:val="00BB6685"/>
    <w:rsid w:val="00BB7EDF"/>
    <w:rsid w:val="00BC0229"/>
    <w:rsid w:val="00BC04C8"/>
    <w:rsid w:val="00BC087D"/>
    <w:rsid w:val="00BC2910"/>
    <w:rsid w:val="00BC29F3"/>
    <w:rsid w:val="00BC2C67"/>
    <w:rsid w:val="00BC33E6"/>
    <w:rsid w:val="00BC3B9B"/>
    <w:rsid w:val="00BC3F26"/>
    <w:rsid w:val="00BC46C6"/>
    <w:rsid w:val="00BC50F1"/>
    <w:rsid w:val="00BC5332"/>
    <w:rsid w:val="00BC561B"/>
    <w:rsid w:val="00BC5B77"/>
    <w:rsid w:val="00BC61EC"/>
    <w:rsid w:val="00BC65A3"/>
    <w:rsid w:val="00BC6751"/>
    <w:rsid w:val="00BC676B"/>
    <w:rsid w:val="00BC7D24"/>
    <w:rsid w:val="00BC7E23"/>
    <w:rsid w:val="00BD029B"/>
    <w:rsid w:val="00BD0A20"/>
    <w:rsid w:val="00BD0A34"/>
    <w:rsid w:val="00BD0FF0"/>
    <w:rsid w:val="00BD1248"/>
    <w:rsid w:val="00BD12D9"/>
    <w:rsid w:val="00BD1A61"/>
    <w:rsid w:val="00BD2150"/>
    <w:rsid w:val="00BD27F0"/>
    <w:rsid w:val="00BD28FC"/>
    <w:rsid w:val="00BD2A4B"/>
    <w:rsid w:val="00BD4CBA"/>
    <w:rsid w:val="00BD5272"/>
    <w:rsid w:val="00BD5456"/>
    <w:rsid w:val="00BD54F1"/>
    <w:rsid w:val="00BD5E89"/>
    <w:rsid w:val="00BD710C"/>
    <w:rsid w:val="00BD71A0"/>
    <w:rsid w:val="00BD7A67"/>
    <w:rsid w:val="00BE01C2"/>
    <w:rsid w:val="00BE0DCC"/>
    <w:rsid w:val="00BE0F93"/>
    <w:rsid w:val="00BE1172"/>
    <w:rsid w:val="00BE1383"/>
    <w:rsid w:val="00BE1895"/>
    <w:rsid w:val="00BE2269"/>
    <w:rsid w:val="00BE2753"/>
    <w:rsid w:val="00BE28B6"/>
    <w:rsid w:val="00BE2986"/>
    <w:rsid w:val="00BE2FEB"/>
    <w:rsid w:val="00BE3854"/>
    <w:rsid w:val="00BE3C9B"/>
    <w:rsid w:val="00BE3D36"/>
    <w:rsid w:val="00BE41B7"/>
    <w:rsid w:val="00BE54EC"/>
    <w:rsid w:val="00BE6C67"/>
    <w:rsid w:val="00BE6CA5"/>
    <w:rsid w:val="00BE7259"/>
    <w:rsid w:val="00BE7658"/>
    <w:rsid w:val="00BF0234"/>
    <w:rsid w:val="00BF1009"/>
    <w:rsid w:val="00BF2003"/>
    <w:rsid w:val="00BF34F1"/>
    <w:rsid w:val="00BF6499"/>
    <w:rsid w:val="00BF75EB"/>
    <w:rsid w:val="00BF7736"/>
    <w:rsid w:val="00BF780B"/>
    <w:rsid w:val="00BF7BD1"/>
    <w:rsid w:val="00BF7D32"/>
    <w:rsid w:val="00BF7E89"/>
    <w:rsid w:val="00C00921"/>
    <w:rsid w:val="00C00B5B"/>
    <w:rsid w:val="00C0116A"/>
    <w:rsid w:val="00C01246"/>
    <w:rsid w:val="00C01F34"/>
    <w:rsid w:val="00C025B9"/>
    <w:rsid w:val="00C025C8"/>
    <w:rsid w:val="00C0301E"/>
    <w:rsid w:val="00C04C34"/>
    <w:rsid w:val="00C0728B"/>
    <w:rsid w:val="00C0737D"/>
    <w:rsid w:val="00C073B2"/>
    <w:rsid w:val="00C102E1"/>
    <w:rsid w:val="00C102E8"/>
    <w:rsid w:val="00C103F6"/>
    <w:rsid w:val="00C105A6"/>
    <w:rsid w:val="00C10D71"/>
    <w:rsid w:val="00C111AC"/>
    <w:rsid w:val="00C11A9E"/>
    <w:rsid w:val="00C11CEA"/>
    <w:rsid w:val="00C126CC"/>
    <w:rsid w:val="00C12CBA"/>
    <w:rsid w:val="00C1330F"/>
    <w:rsid w:val="00C1337C"/>
    <w:rsid w:val="00C133ED"/>
    <w:rsid w:val="00C13492"/>
    <w:rsid w:val="00C13A9C"/>
    <w:rsid w:val="00C14100"/>
    <w:rsid w:val="00C14360"/>
    <w:rsid w:val="00C152D0"/>
    <w:rsid w:val="00C1558C"/>
    <w:rsid w:val="00C157B4"/>
    <w:rsid w:val="00C1584E"/>
    <w:rsid w:val="00C17EEA"/>
    <w:rsid w:val="00C20879"/>
    <w:rsid w:val="00C21B96"/>
    <w:rsid w:val="00C220B1"/>
    <w:rsid w:val="00C22631"/>
    <w:rsid w:val="00C227CD"/>
    <w:rsid w:val="00C22CEF"/>
    <w:rsid w:val="00C2456B"/>
    <w:rsid w:val="00C254B4"/>
    <w:rsid w:val="00C25586"/>
    <w:rsid w:val="00C255C6"/>
    <w:rsid w:val="00C25D0C"/>
    <w:rsid w:val="00C25D9D"/>
    <w:rsid w:val="00C26FB3"/>
    <w:rsid w:val="00C273DE"/>
    <w:rsid w:val="00C275ED"/>
    <w:rsid w:val="00C27783"/>
    <w:rsid w:val="00C3063A"/>
    <w:rsid w:val="00C31658"/>
    <w:rsid w:val="00C31CA2"/>
    <w:rsid w:val="00C33F9E"/>
    <w:rsid w:val="00C34FC7"/>
    <w:rsid w:val="00C357A1"/>
    <w:rsid w:val="00C36167"/>
    <w:rsid w:val="00C3635A"/>
    <w:rsid w:val="00C36571"/>
    <w:rsid w:val="00C370C5"/>
    <w:rsid w:val="00C375D0"/>
    <w:rsid w:val="00C37CDA"/>
    <w:rsid w:val="00C37FC1"/>
    <w:rsid w:val="00C401D8"/>
    <w:rsid w:val="00C40620"/>
    <w:rsid w:val="00C40A38"/>
    <w:rsid w:val="00C41E87"/>
    <w:rsid w:val="00C42896"/>
    <w:rsid w:val="00C43030"/>
    <w:rsid w:val="00C4312E"/>
    <w:rsid w:val="00C43DFD"/>
    <w:rsid w:val="00C4400A"/>
    <w:rsid w:val="00C44237"/>
    <w:rsid w:val="00C45BFB"/>
    <w:rsid w:val="00C45D5C"/>
    <w:rsid w:val="00C466FE"/>
    <w:rsid w:val="00C47A17"/>
    <w:rsid w:val="00C47E74"/>
    <w:rsid w:val="00C50183"/>
    <w:rsid w:val="00C5032B"/>
    <w:rsid w:val="00C50A58"/>
    <w:rsid w:val="00C5121C"/>
    <w:rsid w:val="00C51DFA"/>
    <w:rsid w:val="00C520EA"/>
    <w:rsid w:val="00C52195"/>
    <w:rsid w:val="00C5272E"/>
    <w:rsid w:val="00C52A49"/>
    <w:rsid w:val="00C52F03"/>
    <w:rsid w:val="00C5308D"/>
    <w:rsid w:val="00C5329A"/>
    <w:rsid w:val="00C53785"/>
    <w:rsid w:val="00C5410C"/>
    <w:rsid w:val="00C54D25"/>
    <w:rsid w:val="00C5631F"/>
    <w:rsid w:val="00C56563"/>
    <w:rsid w:val="00C56893"/>
    <w:rsid w:val="00C56A0A"/>
    <w:rsid w:val="00C5792F"/>
    <w:rsid w:val="00C57950"/>
    <w:rsid w:val="00C60524"/>
    <w:rsid w:val="00C61093"/>
    <w:rsid w:val="00C61300"/>
    <w:rsid w:val="00C620EE"/>
    <w:rsid w:val="00C62A57"/>
    <w:rsid w:val="00C62EEB"/>
    <w:rsid w:val="00C6383F"/>
    <w:rsid w:val="00C63F9F"/>
    <w:rsid w:val="00C644ED"/>
    <w:rsid w:val="00C64B46"/>
    <w:rsid w:val="00C65223"/>
    <w:rsid w:val="00C66123"/>
    <w:rsid w:val="00C661FE"/>
    <w:rsid w:val="00C664AE"/>
    <w:rsid w:val="00C66BC4"/>
    <w:rsid w:val="00C66D2B"/>
    <w:rsid w:val="00C66D68"/>
    <w:rsid w:val="00C66F18"/>
    <w:rsid w:val="00C671F9"/>
    <w:rsid w:val="00C67955"/>
    <w:rsid w:val="00C7002F"/>
    <w:rsid w:val="00C702AB"/>
    <w:rsid w:val="00C709CD"/>
    <w:rsid w:val="00C70B1A"/>
    <w:rsid w:val="00C71444"/>
    <w:rsid w:val="00C71563"/>
    <w:rsid w:val="00C71F9A"/>
    <w:rsid w:val="00C71FFF"/>
    <w:rsid w:val="00C72868"/>
    <w:rsid w:val="00C73775"/>
    <w:rsid w:val="00C74BA5"/>
    <w:rsid w:val="00C74C68"/>
    <w:rsid w:val="00C765B3"/>
    <w:rsid w:val="00C76F12"/>
    <w:rsid w:val="00C77519"/>
    <w:rsid w:val="00C8038A"/>
    <w:rsid w:val="00C814CC"/>
    <w:rsid w:val="00C81512"/>
    <w:rsid w:val="00C81747"/>
    <w:rsid w:val="00C81757"/>
    <w:rsid w:val="00C82881"/>
    <w:rsid w:val="00C82E26"/>
    <w:rsid w:val="00C832EC"/>
    <w:rsid w:val="00C83AC9"/>
    <w:rsid w:val="00C83C5E"/>
    <w:rsid w:val="00C83FC8"/>
    <w:rsid w:val="00C8438F"/>
    <w:rsid w:val="00C84D1F"/>
    <w:rsid w:val="00C85EBA"/>
    <w:rsid w:val="00C85F12"/>
    <w:rsid w:val="00C85F28"/>
    <w:rsid w:val="00C86475"/>
    <w:rsid w:val="00C864AD"/>
    <w:rsid w:val="00C8709B"/>
    <w:rsid w:val="00C871DC"/>
    <w:rsid w:val="00C876EA"/>
    <w:rsid w:val="00C93081"/>
    <w:rsid w:val="00C9391A"/>
    <w:rsid w:val="00C939F5"/>
    <w:rsid w:val="00C93C9A"/>
    <w:rsid w:val="00C93F4B"/>
    <w:rsid w:val="00C94138"/>
    <w:rsid w:val="00C95100"/>
    <w:rsid w:val="00C95302"/>
    <w:rsid w:val="00C95906"/>
    <w:rsid w:val="00C95975"/>
    <w:rsid w:val="00C95FCC"/>
    <w:rsid w:val="00C96871"/>
    <w:rsid w:val="00C97952"/>
    <w:rsid w:val="00C97AC0"/>
    <w:rsid w:val="00C97DD0"/>
    <w:rsid w:val="00CA0B5A"/>
    <w:rsid w:val="00CA0B83"/>
    <w:rsid w:val="00CA11BB"/>
    <w:rsid w:val="00CA137E"/>
    <w:rsid w:val="00CA1DB8"/>
    <w:rsid w:val="00CA1F0C"/>
    <w:rsid w:val="00CA1F5C"/>
    <w:rsid w:val="00CA2D4A"/>
    <w:rsid w:val="00CA2DBF"/>
    <w:rsid w:val="00CA34B7"/>
    <w:rsid w:val="00CA3999"/>
    <w:rsid w:val="00CA3D7A"/>
    <w:rsid w:val="00CA4255"/>
    <w:rsid w:val="00CA4691"/>
    <w:rsid w:val="00CA4A4D"/>
    <w:rsid w:val="00CA4D45"/>
    <w:rsid w:val="00CA5262"/>
    <w:rsid w:val="00CA529E"/>
    <w:rsid w:val="00CA5C9A"/>
    <w:rsid w:val="00CA6D86"/>
    <w:rsid w:val="00CA7108"/>
    <w:rsid w:val="00CA71A1"/>
    <w:rsid w:val="00CA7A6A"/>
    <w:rsid w:val="00CB0B92"/>
    <w:rsid w:val="00CB0E81"/>
    <w:rsid w:val="00CB1391"/>
    <w:rsid w:val="00CB13A2"/>
    <w:rsid w:val="00CB141F"/>
    <w:rsid w:val="00CB168F"/>
    <w:rsid w:val="00CB265F"/>
    <w:rsid w:val="00CB272F"/>
    <w:rsid w:val="00CB27B0"/>
    <w:rsid w:val="00CB2FDC"/>
    <w:rsid w:val="00CB31DA"/>
    <w:rsid w:val="00CB3412"/>
    <w:rsid w:val="00CB4651"/>
    <w:rsid w:val="00CB4B47"/>
    <w:rsid w:val="00CB72E2"/>
    <w:rsid w:val="00CB72E6"/>
    <w:rsid w:val="00CB737C"/>
    <w:rsid w:val="00CB7A0D"/>
    <w:rsid w:val="00CB7E70"/>
    <w:rsid w:val="00CB7FE0"/>
    <w:rsid w:val="00CC0386"/>
    <w:rsid w:val="00CC0B77"/>
    <w:rsid w:val="00CC0D4B"/>
    <w:rsid w:val="00CC144B"/>
    <w:rsid w:val="00CC1A9D"/>
    <w:rsid w:val="00CC1E6D"/>
    <w:rsid w:val="00CC23D3"/>
    <w:rsid w:val="00CC23FB"/>
    <w:rsid w:val="00CC265F"/>
    <w:rsid w:val="00CC2B8C"/>
    <w:rsid w:val="00CC2E97"/>
    <w:rsid w:val="00CC2F38"/>
    <w:rsid w:val="00CC2FBD"/>
    <w:rsid w:val="00CC2FC7"/>
    <w:rsid w:val="00CC45A6"/>
    <w:rsid w:val="00CC498D"/>
    <w:rsid w:val="00CC5552"/>
    <w:rsid w:val="00CC583D"/>
    <w:rsid w:val="00CC5EDD"/>
    <w:rsid w:val="00CC632A"/>
    <w:rsid w:val="00CC66A3"/>
    <w:rsid w:val="00CC6D77"/>
    <w:rsid w:val="00CC7D49"/>
    <w:rsid w:val="00CD0CD4"/>
    <w:rsid w:val="00CD224D"/>
    <w:rsid w:val="00CD305D"/>
    <w:rsid w:val="00CD443D"/>
    <w:rsid w:val="00CD48B1"/>
    <w:rsid w:val="00CD4B6B"/>
    <w:rsid w:val="00CD6844"/>
    <w:rsid w:val="00CD6F40"/>
    <w:rsid w:val="00CD70C3"/>
    <w:rsid w:val="00CE071A"/>
    <w:rsid w:val="00CE1AFC"/>
    <w:rsid w:val="00CE1D9A"/>
    <w:rsid w:val="00CE237E"/>
    <w:rsid w:val="00CE28A9"/>
    <w:rsid w:val="00CE2F44"/>
    <w:rsid w:val="00CE3B45"/>
    <w:rsid w:val="00CE3D85"/>
    <w:rsid w:val="00CE4EAE"/>
    <w:rsid w:val="00CE57D1"/>
    <w:rsid w:val="00CE5F01"/>
    <w:rsid w:val="00CE667F"/>
    <w:rsid w:val="00CE6FCC"/>
    <w:rsid w:val="00CE77F8"/>
    <w:rsid w:val="00CF0171"/>
    <w:rsid w:val="00CF05D9"/>
    <w:rsid w:val="00CF077A"/>
    <w:rsid w:val="00CF0C06"/>
    <w:rsid w:val="00CF0C2E"/>
    <w:rsid w:val="00CF0E99"/>
    <w:rsid w:val="00CF213A"/>
    <w:rsid w:val="00CF2688"/>
    <w:rsid w:val="00CF2F51"/>
    <w:rsid w:val="00CF32C9"/>
    <w:rsid w:val="00CF46C1"/>
    <w:rsid w:val="00CF4FE2"/>
    <w:rsid w:val="00CF537A"/>
    <w:rsid w:val="00CF646C"/>
    <w:rsid w:val="00CF6D79"/>
    <w:rsid w:val="00CF76C1"/>
    <w:rsid w:val="00CF77FB"/>
    <w:rsid w:val="00CF7E6F"/>
    <w:rsid w:val="00CF7F55"/>
    <w:rsid w:val="00D00012"/>
    <w:rsid w:val="00D00F18"/>
    <w:rsid w:val="00D00FEE"/>
    <w:rsid w:val="00D01101"/>
    <w:rsid w:val="00D01347"/>
    <w:rsid w:val="00D01853"/>
    <w:rsid w:val="00D03DE6"/>
    <w:rsid w:val="00D04A11"/>
    <w:rsid w:val="00D0554A"/>
    <w:rsid w:val="00D05A31"/>
    <w:rsid w:val="00D0636F"/>
    <w:rsid w:val="00D066F6"/>
    <w:rsid w:val="00D0688B"/>
    <w:rsid w:val="00D06BD4"/>
    <w:rsid w:val="00D06CC5"/>
    <w:rsid w:val="00D06D26"/>
    <w:rsid w:val="00D0790E"/>
    <w:rsid w:val="00D1053C"/>
    <w:rsid w:val="00D10917"/>
    <w:rsid w:val="00D10B01"/>
    <w:rsid w:val="00D11820"/>
    <w:rsid w:val="00D1185C"/>
    <w:rsid w:val="00D11B31"/>
    <w:rsid w:val="00D11C24"/>
    <w:rsid w:val="00D120AB"/>
    <w:rsid w:val="00D12B84"/>
    <w:rsid w:val="00D12F65"/>
    <w:rsid w:val="00D15B3F"/>
    <w:rsid w:val="00D16979"/>
    <w:rsid w:val="00D16FBB"/>
    <w:rsid w:val="00D20044"/>
    <w:rsid w:val="00D208F3"/>
    <w:rsid w:val="00D21214"/>
    <w:rsid w:val="00D219D8"/>
    <w:rsid w:val="00D21B6D"/>
    <w:rsid w:val="00D2217E"/>
    <w:rsid w:val="00D22262"/>
    <w:rsid w:val="00D2230C"/>
    <w:rsid w:val="00D22454"/>
    <w:rsid w:val="00D227BD"/>
    <w:rsid w:val="00D22A8D"/>
    <w:rsid w:val="00D232F3"/>
    <w:rsid w:val="00D2392D"/>
    <w:rsid w:val="00D23C32"/>
    <w:rsid w:val="00D249B8"/>
    <w:rsid w:val="00D250AD"/>
    <w:rsid w:val="00D2533B"/>
    <w:rsid w:val="00D25943"/>
    <w:rsid w:val="00D26D4D"/>
    <w:rsid w:val="00D270F7"/>
    <w:rsid w:val="00D2739B"/>
    <w:rsid w:val="00D30020"/>
    <w:rsid w:val="00D3017A"/>
    <w:rsid w:val="00D30228"/>
    <w:rsid w:val="00D30852"/>
    <w:rsid w:val="00D30A6A"/>
    <w:rsid w:val="00D30C7C"/>
    <w:rsid w:val="00D30CC5"/>
    <w:rsid w:val="00D30DC8"/>
    <w:rsid w:val="00D3288D"/>
    <w:rsid w:val="00D33555"/>
    <w:rsid w:val="00D33AA8"/>
    <w:rsid w:val="00D33FA9"/>
    <w:rsid w:val="00D3487C"/>
    <w:rsid w:val="00D34C7C"/>
    <w:rsid w:val="00D35229"/>
    <w:rsid w:val="00D35B9B"/>
    <w:rsid w:val="00D36874"/>
    <w:rsid w:val="00D3798C"/>
    <w:rsid w:val="00D40B49"/>
    <w:rsid w:val="00D41271"/>
    <w:rsid w:val="00D414DA"/>
    <w:rsid w:val="00D41970"/>
    <w:rsid w:val="00D4320C"/>
    <w:rsid w:val="00D4367B"/>
    <w:rsid w:val="00D436E2"/>
    <w:rsid w:val="00D438EA"/>
    <w:rsid w:val="00D43A04"/>
    <w:rsid w:val="00D43EBE"/>
    <w:rsid w:val="00D44870"/>
    <w:rsid w:val="00D44B54"/>
    <w:rsid w:val="00D44B64"/>
    <w:rsid w:val="00D44CB4"/>
    <w:rsid w:val="00D451F0"/>
    <w:rsid w:val="00D45B82"/>
    <w:rsid w:val="00D46422"/>
    <w:rsid w:val="00D46CC0"/>
    <w:rsid w:val="00D474FD"/>
    <w:rsid w:val="00D47785"/>
    <w:rsid w:val="00D50180"/>
    <w:rsid w:val="00D5071A"/>
    <w:rsid w:val="00D519F9"/>
    <w:rsid w:val="00D523EC"/>
    <w:rsid w:val="00D525E4"/>
    <w:rsid w:val="00D52A2E"/>
    <w:rsid w:val="00D5371C"/>
    <w:rsid w:val="00D53F7F"/>
    <w:rsid w:val="00D5741A"/>
    <w:rsid w:val="00D57725"/>
    <w:rsid w:val="00D6044E"/>
    <w:rsid w:val="00D60C83"/>
    <w:rsid w:val="00D60D79"/>
    <w:rsid w:val="00D60F51"/>
    <w:rsid w:val="00D60F78"/>
    <w:rsid w:val="00D6163D"/>
    <w:rsid w:val="00D61C54"/>
    <w:rsid w:val="00D61FBC"/>
    <w:rsid w:val="00D62181"/>
    <w:rsid w:val="00D6262D"/>
    <w:rsid w:val="00D62B8F"/>
    <w:rsid w:val="00D63A81"/>
    <w:rsid w:val="00D64806"/>
    <w:rsid w:val="00D64D5B"/>
    <w:rsid w:val="00D650E6"/>
    <w:rsid w:val="00D65658"/>
    <w:rsid w:val="00D65A89"/>
    <w:rsid w:val="00D66582"/>
    <w:rsid w:val="00D66661"/>
    <w:rsid w:val="00D676D0"/>
    <w:rsid w:val="00D67D62"/>
    <w:rsid w:val="00D718B3"/>
    <w:rsid w:val="00D7192D"/>
    <w:rsid w:val="00D71D1E"/>
    <w:rsid w:val="00D71DEA"/>
    <w:rsid w:val="00D72312"/>
    <w:rsid w:val="00D72593"/>
    <w:rsid w:val="00D72E82"/>
    <w:rsid w:val="00D73222"/>
    <w:rsid w:val="00D75619"/>
    <w:rsid w:val="00D75834"/>
    <w:rsid w:val="00D76405"/>
    <w:rsid w:val="00D7695C"/>
    <w:rsid w:val="00D76E29"/>
    <w:rsid w:val="00D805D9"/>
    <w:rsid w:val="00D81488"/>
    <w:rsid w:val="00D81D45"/>
    <w:rsid w:val="00D8258C"/>
    <w:rsid w:val="00D82F93"/>
    <w:rsid w:val="00D8341D"/>
    <w:rsid w:val="00D83445"/>
    <w:rsid w:val="00D840BB"/>
    <w:rsid w:val="00D8592B"/>
    <w:rsid w:val="00D87577"/>
    <w:rsid w:val="00D87F06"/>
    <w:rsid w:val="00D9023B"/>
    <w:rsid w:val="00D90910"/>
    <w:rsid w:val="00D90914"/>
    <w:rsid w:val="00D91354"/>
    <w:rsid w:val="00D91843"/>
    <w:rsid w:val="00D925D2"/>
    <w:rsid w:val="00D9346D"/>
    <w:rsid w:val="00D9391F"/>
    <w:rsid w:val="00D93C19"/>
    <w:rsid w:val="00D93F41"/>
    <w:rsid w:val="00D94457"/>
    <w:rsid w:val="00D94955"/>
    <w:rsid w:val="00D95383"/>
    <w:rsid w:val="00D9559E"/>
    <w:rsid w:val="00D95E52"/>
    <w:rsid w:val="00D962ED"/>
    <w:rsid w:val="00D9686E"/>
    <w:rsid w:val="00D9691B"/>
    <w:rsid w:val="00D96CEB"/>
    <w:rsid w:val="00D96DA1"/>
    <w:rsid w:val="00D97B15"/>
    <w:rsid w:val="00D97BF1"/>
    <w:rsid w:val="00DA0384"/>
    <w:rsid w:val="00DA11B0"/>
    <w:rsid w:val="00DA1BBC"/>
    <w:rsid w:val="00DA2299"/>
    <w:rsid w:val="00DA2862"/>
    <w:rsid w:val="00DA2900"/>
    <w:rsid w:val="00DA2D85"/>
    <w:rsid w:val="00DA3393"/>
    <w:rsid w:val="00DA3ED0"/>
    <w:rsid w:val="00DA455C"/>
    <w:rsid w:val="00DA45E0"/>
    <w:rsid w:val="00DA4903"/>
    <w:rsid w:val="00DA50F2"/>
    <w:rsid w:val="00DA5290"/>
    <w:rsid w:val="00DA5485"/>
    <w:rsid w:val="00DA5D66"/>
    <w:rsid w:val="00DB0212"/>
    <w:rsid w:val="00DB0B0A"/>
    <w:rsid w:val="00DB2703"/>
    <w:rsid w:val="00DB2CCE"/>
    <w:rsid w:val="00DB2FE5"/>
    <w:rsid w:val="00DB454C"/>
    <w:rsid w:val="00DB5664"/>
    <w:rsid w:val="00DB63AA"/>
    <w:rsid w:val="00DB66A8"/>
    <w:rsid w:val="00DB693D"/>
    <w:rsid w:val="00DB6F9F"/>
    <w:rsid w:val="00DB6FA9"/>
    <w:rsid w:val="00DB7444"/>
    <w:rsid w:val="00DB7F8A"/>
    <w:rsid w:val="00DC167A"/>
    <w:rsid w:val="00DC25E7"/>
    <w:rsid w:val="00DC29E6"/>
    <w:rsid w:val="00DC38C9"/>
    <w:rsid w:val="00DC43B9"/>
    <w:rsid w:val="00DC4BA0"/>
    <w:rsid w:val="00DC4F4E"/>
    <w:rsid w:val="00DC5299"/>
    <w:rsid w:val="00DC7C42"/>
    <w:rsid w:val="00DC7DB4"/>
    <w:rsid w:val="00DD101C"/>
    <w:rsid w:val="00DD2D2C"/>
    <w:rsid w:val="00DD349A"/>
    <w:rsid w:val="00DD3861"/>
    <w:rsid w:val="00DD3EA5"/>
    <w:rsid w:val="00DD42A7"/>
    <w:rsid w:val="00DD4439"/>
    <w:rsid w:val="00DD4712"/>
    <w:rsid w:val="00DD4CD3"/>
    <w:rsid w:val="00DD5E20"/>
    <w:rsid w:val="00DD5FBF"/>
    <w:rsid w:val="00DD66AF"/>
    <w:rsid w:val="00DD6B99"/>
    <w:rsid w:val="00DD6C31"/>
    <w:rsid w:val="00DD7A20"/>
    <w:rsid w:val="00DE009B"/>
    <w:rsid w:val="00DE057C"/>
    <w:rsid w:val="00DE1467"/>
    <w:rsid w:val="00DE1B91"/>
    <w:rsid w:val="00DE1E55"/>
    <w:rsid w:val="00DE1E78"/>
    <w:rsid w:val="00DE223D"/>
    <w:rsid w:val="00DE2D22"/>
    <w:rsid w:val="00DE2D5A"/>
    <w:rsid w:val="00DE37DE"/>
    <w:rsid w:val="00DE3D97"/>
    <w:rsid w:val="00DE3E7D"/>
    <w:rsid w:val="00DE43EA"/>
    <w:rsid w:val="00DE4BAE"/>
    <w:rsid w:val="00DE5073"/>
    <w:rsid w:val="00DE57B5"/>
    <w:rsid w:val="00DE62AB"/>
    <w:rsid w:val="00DE62C3"/>
    <w:rsid w:val="00DE6C09"/>
    <w:rsid w:val="00DE6FD3"/>
    <w:rsid w:val="00DF01C3"/>
    <w:rsid w:val="00DF0ED3"/>
    <w:rsid w:val="00DF2962"/>
    <w:rsid w:val="00DF36E5"/>
    <w:rsid w:val="00DF38F0"/>
    <w:rsid w:val="00DF3E41"/>
    <w:rsid w:val="00DF4169"/>
    <w:rsid w:val="00DF4E8A"/>
    <w:rsid w:val="00DF58D4"/>
    <w:rsid w:val="00DF5ACD"/>
    <w:rsid w:val="00DF6F46"/>
    <w:rsid w:val="00DF7809"/>
    <w:rsid w:val="00DF7A81"/>
    <w:rsid w:val="00E0057B"/>
    <w:rsid w:val="00E00D33"/>
    <w:rsid w:val="00E012BC"/>
    <w:rsid w:val="00E015EA"/>
    <w:rsid w:val="00E01692"/>
    <w:rsid w:val="00E019D9"/>
    <w:rsid w:val="00E01C6C"/>
    <w:rsid w:val="00E01EEB"/>
    <w:rsid w:val="00E02D8E"/>
    <w:rsid w:val="00E03128"/>
    <w:rsid w:val="00E03741"/>
    <w:rsid w:val="00E048C8"/>
    <w:rsid w:val="00E04E13"/>
    <w:rsid w:val="00E05FC6"/>
    <w:rsid w:val="00E06971"/>
    <w:rsid w:val="00E070D7"/>
    <w:rsid w:val="00E072DE"/>
    <w:rsid w:val="00E07358"/>
    <w:rsid w:val="00E101BF"/>
    <w:rsid w:val="00E108B2"/>
    <w:rsid w:val="00E10B29"/>
    <w:rsid w:val="00E10E3F"/>
    <w:rsid w:val="00E111C5"/>
    <w:rsid w:val="00E1208D"/>
    <w:rsid w:val="00E12278"/>
    <w:rsid w:val="00E12D9B"/>
    <w:rsid w:val="00E1339B"/>
    <w:rsid w:val="00E13A6F"/>
    <w:rsid w:val="00E141E1"/>
    <w:rsid w:val="00E15ED1"/>
    <w:rsid w:val="00E163DE"/>
    <w:rsid w:val="00E17A9B"/>
    <w:rsid w:val="00E201F8"/>
    <w:rsid w:val="00E21AFB"/>
    <w:rsid w:val="00E22749"/>
    <w:rsid w:val="00E22FAB"/>
    <w:rsid w:val="00E23400"/>
    <w:rsid w:val="00E2367F"/>
    <w:rsid w:val="00E239D6"/>
    <w:rsid w:val="00E23B13"/>
    <w:rsid w:val="00E24850"/>
    <w:rsid w:val="00E24A50"/>
    <w:rsid w:val="00E24D12"/>
    <w:rsid w:val="00E24F4D"/>
    <w:rsid w:val="00E2624C"/>
    <w:rsid w:val="00E265BD"/>
    <w:rsid w:val="00E26E3D"/>
    <w:rsid w:val="00E27029"/>
    <w:rsid w:val="00E30F0B"/>
    <w:rsid w:val="00E31AD8"/>
    <w:rsid w:val="00E3239D"/>
    <w:rsid w:val="00E3264D"/>
    <w:rsid w:val="00E32DDA"/>
    <w:rsid w:val="00E32F50"/>
    <w:rsid w:val="00E33A78"/>
    <w:rsid w:val="00E34D8B"/>
    <w:rsid w:val="00E34E16"/>
    <w:rsid w:val="00E3528D"/>
    <w:rsid w:val="00E3530F"/>
    <w:rsid w:val="00E35B57"/>
    <w:rsid w:val="00E36394"/>
    <w:rsid w:val="00E366F0"/>
    <w:rsid w:val="00E369F6"/>
    <w:rsid w:val="00E40040"/>
    <w:rsid w:val="00E4034F"/>
    <w:rsid w:val="00E408BC"/>
    <w:rsid w:val="00E40E4D"/>
    <w:rsid w:val="00E4136E"/>
    <w:rsid w:val="00E41868"/>
    <w:rsid w:val="00E418E6"/>
    <w:rsid w:val="00E43068"/>
    <w:rsid w:val="00E43081"/>
    <w:rsid w:val="00E4387B"/>
    <w:rsid w:val="00E443B9"/>
    <w:rsid w:val="00E44971"/>
    <w:rsid w:val="00E449F1"/>
    <w:rsid w:val="00E44A83"/>
    <w:rsid w:val="00E4515E"/>
    <w:rsid w:val="00E451EE"/>
    <w:rsid w:val="00E47860"/>
    <w:rsid w:val="00E5071B"/>
    <w:rsid w:val="00E515A5"/>
    <w:rsid w:val="00E51644"/>
    <w:rsid w:val="00E51C85"/>
    <w:rsid w:val="00E51E68"/>
    <w:rsid w:val="00E527A0"/>
    <w:rsid w:val="00E52DC4"/>
    <w:rsid w:val="00E5312D"/>
    <w:rsid w:val="00E53A16"/>
    <w:rsid w:val="00E543AB"/>
    <w:rsid w:val="00E54EDB"/>
    <w:rsid w:val="00E5501E"/>
    <w:rsid w:val="00E559A5"/>
    <w:rsid w:val="00E56C5A"/>
    <w:rsid w:val="00E57704"/>
    <w:rsid w:val="00E57DC9"/>
    <w:rsid w:val="00E57E38"/>
    <w:rsid w:val="00E60703"/>
    <w:rsid w:val="00E60BE4"/>
    <w:rsid w:val="00E60CE9"/>
    <w:rsid w:val="00E60DE1"/>
    <w:rsid w:val="00E60FA6"/>
    <w:rsid w:val="00E6118F"/>
    <w:rsid w:val="00E6165B"/>
    <w:rsid w:val="00E61FD4"/>
    <w:rsid w:val="00E6219E"/>
    <w:rsid w:val="00E627D5"/>
    <w:rsid w:val="00E630DD"/>
    <w:rsid w:val="00E63B5D"/>
    <w:rsid w:val="00E64E6D"/>
    <w:rsid w:val="00E64FF3"/>
    <w:rsid w:val="00E667E9"/>
    <w:rsid w:val="00E669B9"/>
    <w:rsid w:val="00E67934"/>
    <w:rsid w:val="00E705AD"/>
    <w:rsid w:val="00E70973"/>
    <w:rsid w:val="00E70E44"/>
    <w:rsid w:val="00E71756"/>
    <w:rsid w:val="00E71F15"/>
    <w:rsid w:val="00E71FF7"/>
    <w:rsid w:val="00E7226F"/>
    <w:rsid w:val="00E72282"/>
    <w:rsid w:val="00E72E7B"/>
    <w:rsid w:val="00E7303F"/>
    <w:rsid w:val="00E734DC"/>
    <w:rsid w:val="00E7384F"/>
    <w:rsid w:val="00E7395F"/>
    <w:rsid w:val="00E74B13"/>
    <w:rsid w:val="00E755E7"/>
    <w:rsid w:val="00E7561A"/>
    <w:rsid w:val="00E75C5C"/>
    <w:rsid w:val="00E75CFC"/>
    <w:rsid w:val="00E765AE"/>
    <w:rsid w:val="00E770F1"/>
    <w:rsid w:val="00E80DE1"/>
    <w:rsid w:val="00E818F9"/>
    <w:rsid w:val="00E8241C"/>
    <w:rsid w:val="00E82728"/>
    <w:rsid w:val="00E82F42"/>
    <w:rsid w:val="00E83583"/>
    <w:rsid w:val="00E83D21"/>
    <w:rsid w:val="00E84563"/>
    <w:rsid w:val="00E84A38"/>
    <w:rsid w:val="00E85C32"/>
    <w:rsid w:val="00E864B2"/>
    <w:rsid w:val="00E86F5B"/>
    <w:rsid w:val="00E8783D"/>
    <w:rsid w:val="00E9135A"/>
    <w:rsid w:val="00E9245A"/>
    <w:rsid w:val="00E9245E"/>
    <w:rsid w:val="00E932EE"/>
    <w:rsid w:val="00E94045"/>
    <w:rsid w:val="00E940DD"/>
    <w:rsid w:val="00E944AF"/>
    <w:rsid w:val="00E94C64"/>
    <w:rsid w:val="00E95A54"/>
    <w:rsid w:val="00E95B62"/>
    <w:rsid w:val="00E97079"/>
    <w:rsid w:val="00E97429"/>
    <w:rsid w:val="00E97688"/>
    <w:rsid w:val="00E978C1"/>
    <w:rsid w:val="00E978E8"/>
    <w:rsid w:val="00E97AF5"/>
    <w:rsid w:val="00EA0194"/>
    <w:rsid w:val="00EA0C50"/>
    <w:rsid w:val="00EA1939"/>
    <w:rsid w:val="00EA2311"/>
    <w:rsid w:val="00EA2BF5"/>
    <w:rsid w:val="00EA3F11"/>
    <w:rsid w:val="00EA4062"/>
    <w:rsid w:val="00EA40A8"/>
    <w:rsid w:val="00EA5B52"/>
    <w:rsid w:val="00EA676D"/>
    <w:rsid w:val="00EA6D75"/>
    <w:rsid w:val="00EA7E0E"/>
    <w:rsid w:val="00EA7F7C"/>
    <w:rsid w:val="00EB0BE9"/>
    <w:rsid w:val="00EB0C50"/>
    <w:rsid w:val="00EB1D23"/>
    <w:rsid w:val="00EB1F54"/>
    <w:rsid w:val="00EB206D"/>
    <w:rsid w:val="00EB2128"/>
    <w:rsid w:val="00EB289B"/>
    <w:rsid w:val="00EB2B92"/>
    <w:rsid w:val="00EB2DC6"/>
    <w:rsid w:val="00EB2F1E"/>
    <w:rsid w:val="00EB33E4"/>
    <w:rsid w:val="00EB3958"/>
    <w:rsid w:val="00EB3E67"/>
    <w:rsid w:val="00EB5550"/>
    <w:rsid w:val="00EB5FDA"/>
    <w:rsid w:val="00EB66EB"/>
    <w:rsid w:val="00EB6B64"/>
    <w:rsid w:val="00EB6CF5"/>
    <w:rsid w:val="00EB6D81"/>
    <w:rsid w:val="00EB75FB"/>
    <w:rsid w:val="00EB77BB"/>
    <w:rsid w:val="00EC03B6"/>
    <w:rsid w:val="00EC0A68"/>
    <w:rsid w:val="00EC1DCE"/>
    <w:rsid w:val="00EC2BB5"/>
    <w:rsid w:val="00EC34BF"/>
    <w:rsid w:val="00EC3D4E"/>
    <w:rsid w:val="00EC4107"/>
    <w:rsid w:val="00EC4B91"/>
    <w:rsid w:val="00EC4B98"/>
    <w:rsid w:val="00EC4FBD"/>
    <w:rsid w:val="00EC6C40"/>
    <w:rsid w:val="00EC7CF5"/>
    <w:rsid w:val="00EC7FF5"/>
    <w:rsid w:val="00ED0416"/>
    <w:rsid w:val="00ED16C8"/>
    <w:rsid w:val="00ED19E5"/>
    <w:rsid w:val="00ED212B"/>
    <w:rsid w:val="00ED31ED"/>
    <w:rsid w:val="00ED3309"/>
    <w:rsid w:val="00ED3887"/>
    <w:rsid w:val="00ED3C87"/>
    <w:rsid w:val="00ED3E4F"/>
    <w:rsid w:val="00ED46A1"/>
    <w:rsid w:val="00ED5355"/>
    <w:rsid w:val="00ED56FF"/>
    <w:rsid w:val="00ED71B8"/>
    <w:rsid w:val="00ED7882"/>
    <w:rsid w:val="00ED7B46"/>
    <w:rsid w:val="00ED7E08"/>
    <w:rsid w:val="00EE140F"/>
    <w:rsid w:val="00EE1546"/>
    <w:rsid w:val="00EE1954"/>
    <w:rsid w:val="00EE1C2C"/>
    <w:rsid w:val="00EE1F53"/>
    <w:rsid w:val="00EE2146"/>
    <w:rsid w:val="00EE2521"/>
    <w:rsid w:val="00EE2DD6"/>
    <w:rsid w:val="00EE2DD7"/>
    <w:rsid w:val="00EE375B"/>
    <w:rsid w:val="00EE3EBC"/>
    <w:rsid w:val="00EE4719"/>
    <w:rsid w:val="00EE53AA"/>
    <w:rsid w:val="00EE53FE"/>
    <w:rsid w:val="00EE5506"/>
    <w:rsid w:val="00EE5554"/>
    <w:rsid w:val="00EE6364"/>
    <w:rsid w:val="00EE656B"/>
    <w:rsid w:val="00EE7083"/>
    <w:rsid w:val="00EE7914"/>
    <w:rsid w:val="00EE7935"/>
    <w:rsid w:val="00EE7949"/>
    <w:rsid w:val="00EE7BE7"/>
    <w:rsid w:val="00EF0030"/>
    <w:rsid w:val="00EF06C1"/>
    <w:rsid w:val="00EF0C30"/>
    <w:rsid w:val="00EF13EA"/>
    <w:rsid w:val="00EF1525"/>
    <w:rsid w:val="00EF15D8"/>
    <w:rsid w:val="00EF1A5C"/>
    <w:rsid w:val="00EF1FB8"/>
    <w:rsid w:val="00EF1FBE"/>
    <w:rsid w:val="00EF1FF2"/>
    <w:rsid w:val="00EF251D"/>
    <w:rsid w:val="00EF251E"/>
    <w:rsid w:val="00EF3A27"/>
    <w:rsid w:val="00EF3B9F"/>
    <w:rsid w:val="00EF3E0A"/>
    <w:rsid w:val="00EF3EC3"/>
    <w:rsid w:val="00EF4A4B"/>
    <w:rsid w:val="00EF4AD4"/>
    <w:rsid w:val="00EF5729"/>
    <w:rsid w:val="00EF58C2"/>
    <w:rsid w:val="00EF6A03"/>
    <w:rsid w:val="00EF6A05"/>
    <w:rsid w:val="00EF6A83"/>
    <w:rsid w:val="00EF6D0E"/>
    <w:rsid w:val="00EF753C"/>
    <w:rsid w:val="00EF78A8"/>
    <w:rsid w:val="00F00EED"/>
    <w:rsid w:val="00F015DB"/>
    <w:rsid w:val="00F01633"/>
    <w:rsid w:val="00F0224E"/>
    <w:rsid w:val="00F028EB"/>
    <w:rsid w:val="00F0369A"/>
    <w:rsid w:val="00F041C4"/>
    <w:rsid w:val="00F04581"/>
    <w:rsid w:val="00F04884"/>
    <w:rsid w:val="00F04AC0"/>
    <w:rsid w:val="00F04B42"/>
    <w:rsid w:val="00F04C3A"/>
    <w:rsid w:val="00F05110"/>
    <w:rsid w:val="00F0578C"/>
    <w:rsid w:val="00F05BA3"/>
    <w:rsid w:val="00F06D82"/>
    <w:rsid w:val="00F06E29"/>
    <w:rsid w:val="00F06F8F"/>
    <w:rsid w:val="00F07905"/>
    <w:rsid w:val="00F10AC7"/>
    <w:rsid w:val="00F113F4"/>
    <w:rsid w:val="00F11C4A"/>
    <w:rsid w:val="00F11F8A"/>
    <w:rsid w:val="00F1218A"/>
    <w:rsid w:val="00F12B35"/>
    <w:rsid w:val="00F12EE5"/>
    <w:rsid w:val="00F130EB"/>
    <w:rsid w:val="00F13504"/>
    <w:rsid w:val="00F14EA1"/>
    <w:rsid w:val="00F153FB"/>
    <w:rsid w:val="00F15E73"/>
    <w:rsid w:val="00F15FAE"/>
    <w:rsid w:val="00F17A27"/>
    <w:rsid w:val="00F17EBE"/>
    <w:rsid w:val="00F201C3"/>
    <w:rsid w:val="00F2112F"/>
    <w:rsid w:val="00F216C1"/>
    <w:rsid w:val="00F218E7"/>
    <w:rsid w:val="00F21B11"/>
    <w:rsid w:val="00F21F21"/>
    <w:rsid w:val="00F2248D"/>
    <w:rsid w:val="00F224E4"/>
    <w:rsid w:val="00F22913"/>
    <w:rsid w:val="00F23DB5"/>
    <w:rsid w:val="00F2466B"/>
    <w:rsid w:val="00F246A4"/>
    <w:rsid w:val="00F24DB4"/>
    <w:rsid w:val="00F25597"/>
    <w:rsid w:val="00F265D6"/>
    <w:rsid w:val="00F26DE3"/>
    <w:rsid w:val="00F26FE2"/>
    <w:rsid w:val="00F275CF"/>
    <w:rsid w:val="00F302C8"/>
    <w:rsid w:val="00F30601"/>
    <w:rsid w:val="00F3199A"/>
    <w:rsid w:val="00F32207"/>
    <w:rsid w:val="00F324CE"/>
    <w:rsid w:val="00F3277A"/>
    <w:rsid w:val="00F32B82"/>
    <w:rsid w:val="00F330E7"/>
    <w:rsid w:val="00F33436"/>
    <w:rsid w:val="00F33D31"/>
    <w:rsid w:val="00F33F45"/>
    <w:rsid w:val="00F34456"/>
    <w:rsid w:val="00F355D6"/>
    <w:rsid w:val="00F35AA9"/>
    <w:rsid w:val="00F36AB0"/>
    <w:rsid w:val="00F37067"/>
    <w:rsid w:val="00F3727D"/>
    <w:rsid w:val="00F3762C"/>
    <w:rsid w:val="00F37F6A"/>
    <w:rsid w:val="00F4017E"/>
    <w:rsid w:val="00F40244"/>
    <w:rsid w:val="00F4061C"/>
    <w:rsid w:val="00F4136D"/>
    <w:rsid w:val="00F41C8E"/>
    <w:rsid w:val="00F42030"/>
    <w:rsid w:val="00F42746"/>
    <w:rsid w:val="00F42B66"/>
    <w:rsid w:val="00F42FCC"/>
    <w:rsid w:val="00F442C4"/>
    <w:rsid w:val="00F44EF8"/>
    <w:rsid w:val="00F4501A"/>
    <w:rsid w:val="00F45340"/>
    <w:rsid w:val="00F457EC"/>
    <w:rsid w:val="00F45B59"/>
    <w:rsid w:val="00F46975"/>
    <w:rsid w:val="00F47322"/>
    <w:rsid w:val="00F47B22"/>
    <w:rsid w:val="00F47EE2"/>
    <w:rsid w:val="00F47F24"/>
    <w:rsid w:val="00F50789"/>
    <w:rsid w:val="00F50A2D"/>
    <w:rsid w:val="00F51580"/>
    <w:rsid w:val="00F51E0B"/>
    <w:rsid w:val="00F51E5A"/>
    <w:rsid w:val="00F51F3A"/>
    <w:rsid w:val="00F5236E"/>
    <w:rsid w:val="00F523E9"/>
    <w:rsid w:val="00F52579"/>
    <w:rsid w:val="00F52AD2"/>
    <w:rsid w:val="00F53311"/>
    <w:rsid w:val="00F53373"/>
    <w:rsid w:val="00F53708"/>
    <w:rsid w:val="00F54609"/>
    <w:rsid w:val="00F54D60"/>
    <w:rsid w:val="00F54DC7"/>
    <w:rsid w:val="00F54F5D"/>
    <w:rsid w:val="00F564D2"/>
    <w:rsid w:val="00F56679"/>
    <w:rsid w:val="00F57178"/>
    <w:rsid w:val="00F57189"/>
    <w:rsid w:val="00F57E8B"/>
    <w:rsid w:val="00F613F3"/>
    <w:rsid w:val="00F61973"/>
    <w:rsid w:val="00F619A6"/>
    <w:rsid w:val="00F624F8"/>
    <w:rsid w:val="00F630A4"/>
    <w:rsid w:val="00F638CA"/>
    <w:rsid w:val="00F6492E"/>
    <w:rsid w:val="00F64F27"/>
    <w:rsid w:val="00F650AB"/>
    <w:rsid w:val="00F65773"/>
    <w:rsid w:val="00F67194"/>
    <w:rsid w:val="00F67970"/>
    <w:rsid w:val="00F67BE0"/>
    <w:rsid w:val="00F67EA4"/>
    <w:rsid w:val="00F7020D"/>
    <w:rsid w:val="00F705ED"/>
    <w:rsid w:val="00F71D96"/>
    <w:rsid w:val="00F7247D"/>
    <w:rsid w:val="00F72D9B"/>
    <w:rsid w:val="00F736CE"/>
    <w:rsid w:val="00F73722"/>
    <w:rsid w:val="00F73761"/>
    <w:rsid w:val="00F7409C"/>
    <w:rsid w:val="00F74414"/>
    <w:rsid w:val="00F74AED"/>
    <w:rsid w:val="00F75061"/>
    <w:rsid w:val="00F77587"/>
    <w:rsid w:val="00F80857"/>
    <w:rsid w:val="00F808D3"/>
    <w:rsid w:val="00F811A0"/>
    <w:rsid w:val="00F811D8"/>
    <w:rsid w:val="00F81725"/>
    <w:rsid w:val="00F82268"/>
    <w:rsid w:val="00F840F7"/>
    <w:rsid w:val="00F84EC7"/>
    <w:rsid w:val="00F84F70"/>
    <w:rsid w:val="00F851D2"/>
    <w:rsid w:val="00F8591E"/>
    <w:rsid w:val="00F85929"/>
    <w:rsid w:val="00F85B9C"/>
    <w:rsid w:val="00F86E90"/>
    <w:rsid w:val="00F875D4"/>
    <w:rsid w:val="00F90774"/>
    <w:rsid w:val="00F90CF0"/>
    <w:rsid w:val="00F91067"/>
    <w:rsid w:val="00F91DA3"/>
    <w:rsid w:val="00F924B2"/>
    <w:rsid w:val="00F933F2"/>
    <w:rsid w:val="00F9377E"/>
    <w:rsid w:val="00F93F20"/>
    <w:rsid w:val="00F94032"/>
    <w:rsid w:val="00F94E01"/>
    <w:rsid w:val="00F9539A"/>
    <w:rsid w:val="00FA03E9"/>
    <w:rsid w:val="00FA0D0C"/>
    <w:rsid w:val="00FA0E9F"/>
    <w:rsid w:val="00FA13FA"/>
    <w:rsid w:val="00FA1435"/>
    <w:rsid w:val="00FA1E97"/>
    <w:rsid w:val="00FA1EB7"/>
    <w:rsid w:val="00FA1FEC"/>
    <w:rsid w:val="00FA2946"/>
    <w:rsid w:val="00FA34A6"/>
    <w:rsid w:val="00FA3A5E"/>
    <w:rsid w:val="00FA4132"/>
    <w:rsid w:val="00FA4AC2"/>
    <w:rsid w:val="00FA54AF"/>
    <w:rsid w:val="00FA6363"/>
    <w:rsid w:val="00FA6B22"/>
    <w:rsid w:val="00FA6CB8"/>
    <w:rsid w:val="00FA6EB6"/>
    <w:rsid w:val="00FA7662"/>
    <w:rsid w:val="00FA7C04"/>
    <w:rsid w:val="00FB018F"/>
    <w:rsid w:val="00FB074E"/>
    <w:rsid w:val="00FB07C0"/>
    <w:rsid w:val="00FB08B4"/>
    <w:rsid w:val="00FB0963"/>
    <w:rsid w:val="00FB166E"/>
    <w:rsid w:val="00FB24AC"/>
    <w:rsid w:val="00FB2645"/>
    <w:rsid w:val="00FB27CA"/>
    <w:rsid w:val="00FB2F1A"/>
    <w:rsid w:val="00FB3667"/>
    <w:rsid w:val="00FB4573"/>
    <w:rsid w:val="00FB4F9B"/>
    <w:rsid w:val="00FB6137"/>
    <w:rsid w:val="00FB62AD"/>
    <w:rsid w:val="00FB6B6F"/>
    <w:rsid w:val="00FB6D73"/>
    <w:rsid w:val="00FB6DBF"/>
    <w:rsid w:val="00FB7DCA"/>
    <w:rsid w:val="00FC0003"/>
    <w:rsid w:val="00FC0232"/>
    <w:rsid w:val="00FC04B9"/>
    <w:rsid w:val="00FC07BF"/>
    <w:rsid w:val="00FC0C4D"/>
    <w:rsid w:val="00FC2007"/>
    <w:rsid w:val="00FC25F0"/>
    <w:rsid w:val="00FC2E84"/>
    <w:rsid w:val="00FC3A8C"/>
    <w:rsid w:val="00FC3EA9"/>
    <w:rsid w:val="00FC4F09"/>
    <w:rsid w:val="00FC547F"/>
    <w:rsid w:val="00FC5521"/>
    <w:rsid w:val="00FC7565"/>
    <w:rsid w:val="00FC773B"/>
    <w:rsid w:val="00FC7D4D"/>
    <w:rsid w:val="00FC7E89"/>
    <w:rsid w:val="00FD0C60"/>
    <w:rsid w:val="00FD19F9"/>
    <w:rsid w:val="00FD1C7D"/>
    <w:rsid w:val="00FD2059"/>
    <w:rsid w:val="00FD3001"/>
    <w:rsid w:val="00FD33A2"/>
    <w:rsid w:val="00FD3710"/>
    <w:rsid w:val="00FD3CFD"/>
    <w:rsid w:val="00FD49B4"/>
    <w:rsid w:val="00FD4AD0"/>
    <w:rsid w:val="00FD4C2F"/>
    <w:rsid w:val="00FD4C9E"/>
    <w:rsid w:val="00FD5026"/>
    <w:rsid w:val="00FD5505"/>
    <w:rsid w:val="00FD55B3"/>
    <w:rsid w:val="00FD5917"/>
    <w:rsid w:val="00FD5A0B"/>
    <w:rsid w:val="00FD69A7"/>
    <w:rsid w:val="00FD6FC7"/>
    <w:rsid w:val="00FD766A"/>
    <w:rsid w:val="00FD7951"/>
    <w:rsid w:val="00FE0527"/>
    <w:rsid w:val="00FE085F"/>
    <w:rsid w:val="00FE16AF"/>
    <w:rsid w:val="00FE1C81"/>
    <w:rsid w:val="00FE1EC3"/>
    <w:rsid w:val="00FE37D9"/>
    <w:rsid w:val="00FE4D88"/>
    <w:rsid w:val="00FE52FD"/>
    <w:rsid w:val="00FE54E9"/>
    <w:rsid w:val="00FE5676"/>
    <w:rsid w:val="00FE5D19"/>
    <w:rsid w:val="00FE5F6B"/>
    <w:rsid w:val="00FE6F57"/>
    <w:rsid w:val="00FE7281"/>
    <w:rsid w:val="00FE77F1"/>
    <w:rsid w:val="00FE7D8F"/>
    <w:rsid w:val="00FF063E"/>
    <w:rsid w:val="00FF11CB"/>
    <w:rsid w:val="00FF219D"/>
    <w:rsid w:val="00FF2C27"/>
    <w:rsid w:val="00FF372A"/>
    <w:rsid w:val="00FF39C1"/>
    <w:rsid w:val="00FF3A63"/>
    <w:rsid w:val="00FF493D"/>
    <w:rsid w:val="00FF57D1"/>
    <w:rsid w:val="00FF592B"/>
    <w:rsid w:val="00FF60CC"/>
    <w:rsid w:val="00FF6B2C"/>
    <w:rsid w:val="00FF6BFC"/>
    <w:rsid w:val="00FF7A17"/>
    <w:rsid w:val="00FF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uiPriority w:val="9"/>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rFonts w:cs="Times New Roman"/>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rFonts w:cs="Times New Roman"/>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rFonts w:cs="Times New Roman"/>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rFonts w:cs="Times New Roman"/>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rFonts w:cs="Times New Roman"/>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rFonts w:cs="Times New Roman"/>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rFonts w:cs="Times New Roman"/>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rFonts w:cs="Times New Roman"/>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rFonts w:cs="Times New Roman"/>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rFonts w:cs="Times New Roman"/>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rFonts w:cs="Times New Roman"/>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rFonts w:cs="Times New Roman"/>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rFonts w:cs="Times New Roman"/>
      <w:sz w:val="24"/>
      <w:szCs w:val="24"/>
      <w:lang w:bidi="ar-AE"/>
    </w:rPr>
  </w:style>
  <w:style w:type="character" w:customStyle="1" w:styleId="StandardL5Char">
    <w:name w:val="Standard L5 Char"/>
    <w:basedOn w:val="DefaultParagraphFont"/>
    <w:link w:val="StandardL5"/>
    <w:rsid w:val="00FF592B"/>
    <w:rPr>
      <w:rFonts w:cs="Times New Roman"/>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rFonts w:cs="Times New Roman"/>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rFonts w:cs="Times New Roman"/>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rFonts w:cs="Times New Roman"/>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rFonts w:cs="Times New Roman"/>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General1L9">
    <w:name w:val="General 1 L9"/>
    <w:basedOn w:val="Normal"/>
    <w:link w:val="General1L9Char"/>
    <w:rsid w:val="001E2DD0"/>
    <w:pPr>
      <w:numPr>
        <w:ilvl w:val="8"/>
        <w:numId w:val="3"/>
      </w:numPr>
      <w:tabs>
        <w:tab w:val="num" w:pos="360"/>
      </w:tabs>
      <w:outlineLvl w:val="8"/>
    </w:pPr>
    <w:rPr>
      <w:lang w:eastAsia="en-GB"/>
    </w:rPr>
  </w:style>
  <w:style w:type="character" w:customStyle="1" w:styleId="General1L9Char">
    <w:name w:val="General 1 L9 Char"/>
    <w:basedOn w:val="BodyTextChar"/>
    <w:link w:val="General1L9"/>
    <w:rsid w:val="001E2DD0"/>
    <w:rPr>
      <w:rFonts w:cs="Times New Roman"/>
      <w:sz w:val="24"/>
      <w:szCs w:val="24"/>
      <w:lang w:eastAsia="en-GB" w:bidi="ar-AE"/>
    </w:rPr>
  </w:style>
  <w:style w:type="paragraph" w:customStyle="1" w:styleId="General1L8">
    <w:name w:val="General 1 L8"/>
    <w:basedOn w:val="Normal"/>
    <w:link w:val="General1L8Char"/>
    <w:rsid w:val="001E2DD0"/>
    <w:pPr>
      <w:numPr>
        <w:ilvl w:val="7"/>
        <w:numId w:val="3"/>
      </w:numPr>
      <w:tabs>
        <w:tab w:val="num" w:pos="360"/>
      </w:tabs>
      <w:outlineLvl w:val="7"/>
    </w:pPr>
    <w:rPr>
      <w:lang w:eastAsia="en-GB"/>
    </w:rPr>
  </w:style>
  <w:style w:type="character" w:customStyle="1" w:styleId="General1L8Char">
    <w:name w:val="General 1 L8 Char"/>
    <w:basedOn w:val="BodyTextChar"/>
    <w:link w:val="General1L8"/>
    <w:rsid w:val="001E2DD0"/>
    <w:rPr>
      <w:rFonts w:cs="Times New Roman"/>
      <w:sz w:val="24"/>
      <w:szCs w:val="24"/>
      <w:lang w:eastAsia="en-GB" w:bidi="ar-AE"/>
    </w:rPr>
  </w:style>
  <w:style w:type="paragraph" w:customStyle="1" w:styleId="General1L7">
    <w:name w:val="General 1 L7"/>
    <w:basedOn w:val="Normal"/>
    <w:link w:val="General1L7Char"/>
    <w:rsid w:val="001E2DD0"/>
    <w:pPr>
      <w:numPr>
        <w:ilvl w:val="6"/>
        <w:numId w:val="3"/>
      </w:numPr>
      <w:tabs>
        <w:tab w:val="num" w:pos="360"/>
      </w:tabs>
      <w:outlineLvl w:val="6"/>
    </w:pPr>
    <w:rPr>
      <w:lang w:eastAsia="en-GB"/>
    </w:rPr>
  </w:style>
  <w:style w:type="character" w:customStyle="1" w:styleId="General1L7Char">
    <w:name w:val="General 1 L7 Char"/>
    <w:basedOn w:val="BodyTextChar"/>
    <w:link w:val="General1L7"/>
    <w:rsid w:val="001E2DD0"/>
    <w:rPr>
      <w:rFonts w:cs="Times New Roman"/>
      <w:sz w:val="24"/>
      <w:szCs w:val="24"/>
      <w:lang w:eastAsia="en-GB" w:bidi="ar-AE"/>
    </w:rPr>
  </w:style>
  <w:style w:type="paragraph" w:customStyle="1" w:styleId="General1L6">
    <w:name w:val="General 1 L6"/>
    <w:basedOn w:val="Normal"/>
    <w:next w:val="BodyText5"/>
    <w:link w:val="General1L6Char"/>
    <w:rsid w:val="001E2DD0"/>
    <w:pPr>
      <w:numPr>
        <w:ilvl w:val="5"/>
        <w:numId w:val="3"/>
      </w:numPr>
      <w:tabs>
        <w:tab w:val="clear" w:pos="3600"/>
        <w:tab w:val="num" w:pos="360"/>
      </w:tabs>
      <w:ind w:left="0" w:firstLine="0"/>
      <w:outlineLvl w:val="5"/>
    </w:pPr>
    <w:rPr>
      <w:lang w:eastAsia="en-GB"/>
    </w:rPr>
  </w:style>
  <w:style w:type="character" w:customStyle="1" w:styleId="General1L6Char">
    <w:name w:val="General 1 L6 Char"/>
    <w:basedOn w:val="BodyTextChar"/>
    <w:link w:val="General1L6"/>
    <w:rsid w:val="001E2DD0"/>
    <w:rPr>
      <w:rFonts w:cs="Times New Roman"/>
      <w:sz w:val="24"/>
      <w:szCs w:val="24"/>
      <w:lang w:eastAsia="en-GB" w:bidi="ar-AE"/>
    </w:rPr>
  </w:style>
  <w:style w:type="paragraph" w:customStyle="1" w:styleId="General1L5">
    <w:name w:val="General 1 L5"/>
    <w:basedOn w:val="Normal"/>
    <w:next w:val="BodyText4"/>
    <w:link w:val="General1L5Char"/>
    <w:rsid w:val="001E2DD0"/>
    <w:pPr>
      <w:numPr>
        <w:ilvl w:val="4"/>
        <w:numId w:val="3"/>
      </w:numPr>
      <w:tabs>
        <w:tab w:val="clear" w:pos="2880"/>
        <w:tab w:val="num" w:pos="360"/>
      </w:tabs>
      <w:ind w:left="0" w:firstLine="0"/>
      <w:outlineLvl w:val="4"/>
    </w:pPr>
    <w:rPr>
      <w:lang w:eastAsia="en-GB"/>
    </w:rPr>
  </w:style>
  <w:style w:type="character" w:customStyle="1" w:styleId="General1L5Char">
    <w:name w:val="General 1 L5 Char"/>
    <w:basedOn w:val="BodyTextChar"/>
    <w:link w:val="General1L5"/>
    <w:rsid w:val="001E2DD0"/>
    <w:rPr>
      <w:rFonts w:cs="Times New Roman"/>
      <w:sz w:val="24"/>
      <w:szCs w:val="24"/>
      <w:lang w:eastAsia="en-GB" w:bidi="ar-AE"/>
    </w:rPr>
  </w:style>
  <w:style w:type="paragraph" w:customStyle="1" w:styleId="General1L4">
    <w:name w:val="General 1 L4"/>
    <w:basedOn w:val="Normal"/>
    <w:next w:val="BodyText3"/>
    <w:link w:val="General1L4Char"/>
    <w:rsid w:val="001E2DD0"/>
    <w:pPr>
      <w:numPr>
        <w:ilvl w:val="3"/>
        <w:numId w:val="3"/>
      </w:numPr>
      <w:tabs>
        <w:tab w:val="clear" w:pos="2160"/>
        <w:tab w:val="num" w:pos="360"/>
      </w:tabs>
      <w:ind w:left="0" w:firstLine="0"/>
      <w:outlineLvl w:val="3"/>
    </w:pPr>
    <w:rPr>
      <w:lang w:eastAsia="en-GB"/>
    </w:rPr>
  </w:style>
  <w:style w:type="character" w:customStyle="1" w:styleId="General1L4Char">
    <w:name w:val="General 1 L4 Char"/>
    <w:basedOn w:val="BodyTextChar"/>
    <w:link w:val="General1L4"/>
    <w:rsid w:val="001E2DD0"/>
    <w:rPr>
      <w:rFonts w:cs="Times New Roman"/>
      <w:sz w:val="24"/>
      <w:szCs w:val="24"/>
      <w:lang w:eastAsia="en-GB" w:bidi="ar-AE"/>
    </w:rPr>
  </w:style>
  <w:style w:type="paragraph" w:customStyle="1" w:styleId="General1L3">
    <w:name w:val="General 1 L3"/>
    <w:basedOn w:val="Normal"/>
    <w:next w:val="BodyText2"/>
    <w:link w:val="General1L3Char"/>
    <w:rsid w:val="001E2DD0"/>
    <w:pPr>
      <w:numPr>
        <w:ilvl w:val="2"/>
        <w:numId w:val="3"/>
      </w:numPr>
      <w:outlineLvl w:val="2"/>
    </w:pPr>
    <w:rPr>
      <w:lang w:eastAsia="en-GB"/>
    </w:rPr>
  </w:style>
  <w:style w:type="character" w:customStyle="1" w:styleId="General1L3Char">
    <w:name w:val="General 1 L3 Char"/>
    <w:basedOn w:val="BodyTextChar"/>
    <w:link w:val="General1L3"/>
    <w:rsid w:val="001E2DD0"/>
    <w:rPr>
      <w:rFonts w:cs="Times New Roman"/>
      <w:sz w:val="24"/>
      <w:szCs w:val="24"/>
      <w:lang w:eastAsia="en-GB" w:bidi="ar-AE"/>
    </w:rPr>
  </w:style>
  <w:style w:type="paragraph" w:customStyle="1" w:styleId="General1L2">
    <w:name w:val="General 1 L2"/>
    <w:basedOn w:val="Normal"/>
    <w:next w:val="BodyText1"/>
    <w:link w:val="General1L2Char"/>
    <w:rsid w:val="001E2DD0"/>
    <w:pPr>
      <w:numPr>
        <w:ilvl w:val="1"/>
        <w:numId w:val="3"/>
      </w:numPr>
      <w:outlineLvl w:val="1"/>
    </w:pPr>
    <w:rPr>
      <w:lang w:eastAsia="en-GB"/>
    </w:rPr>
  </w:style>
  <w:style w:type="character" w:customStyle="1" w:styleId="General1L2Char">
    <w:name w:val="General 1 L2 Char"/>
    <w:basedOn w:val="BodyTextChar"/>
    <w:link w:val="General1L2"/>
    <w:rsid w:val="001E2DD0"/>
    <w:rPr>
      <w:rFonts w:cs="Times New Roman"/>
      <w:sz w:val="24"/>
      <w:szCs w:val="24"/>
      <w:lang w:eastAsia="en-GB" w:bidi="ar-AE"/>
    </w:rPr>
  </w:style>
  <w:style w:type="paragraph" w:customStyle="1" w:styleId="General1L1">
    <w:name w:val="General 1 L1"/>
    <w:basedOn w:val="Normal"/>
    <w:next w:val="BodyText1"/>
    <w:link w:val="General1L1Char"/>
    <w:rsid w:val="001E2DD0"/>
    <w:pPr>
      <w:numPr>
        <w:numId w:val="3"/>
      </w:numPr>
      <w:outlineLvl w:val="0"/>
    </w:pPr>
    <w:rPr>
      <w:lang w:eastAsia="en-GB"/>
    </w:rPr>
  </w:style>
  <w:style w:type="character" w:customStyle="1" w:styleId="General1L1Char">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customStyle="1" w:styleId="xmsonormal">
    <w:name w:val="x_msonormal"/>
    <w:basedOn w:val="Normal"/>
    <w:rsid w:val="00EF06C1"/>
    <w:pPr>
      <w:spacing w:after="0"/>
      <w:jc w:val="left"/>
    </w:pPr>
    <w:rPr>
      <w:rFonts w:ascii="Calibri" w:eastAsiaTheme="minorHAnsi" w:hAnsi="Calibri" w:cs="Calibri"/>
      <w:sz w:val="22"/>
      <w:szCs w:val="22"/>
      <w:lang w:eastAsia="en-GB" w:bidi="ar-SA"/>
    </w:rPr>
  </w:style>
  <w:style w:type="paragraph" w:styleId="Revision">
    <w:name w:val="Revision"/>
    <w:hidden/>
    <w:semiHidden/>
    <w:rsid w:val="009E58C8"/>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0820">
      <w:bodyDiv w:val="1"/>
      <w:marLeft w:val="0"/>
      <w:marRight w:val="0"/>
      <w:marTop w:val="0"/>
      <w:marBottom w:val="0"/>
      <w:divBdr>
        <w:top w:val="none" w:sz="0" w:space="0" w:color="auto"/>
        <w:left w:val="none" w:sz="0" w:space="0" w:color="auto"/>
        <w:bottom w:val="none" w:sz="0" w:space="0" w:color="auto"/>
        <w:right w:val="none" w:sz="0" w:space="0" w:color="auto"/>
      </w:divBdr>
    </w:div>
    <w:div w:id="32658221">
      <w:bodyDiv w:val="1"/>
      <w:marLeft w:val="0"/>
      <w:marRight w:val="0"/>
      <w:marTop w:val="0"/>
      <w:marBottom w:val="0"/>
      <w:divBdr>
        <w:top w:val="none" w:sz="0" w:space="0" w:color="auto"/>
        <w:left w:val="none" w:sz="0" w:space="0" w:color="auto"/>
        <w:bottom w:val="none" w:sz="0" w:space="0" w:color="auto"/>
        <w:right w:val="none" w:sz="0" w:space="0" w:color="auto"/>
      </w:divBdr>
    </w:div>
    <w:div w:id="78478750">
      <w:bodyDiv w:val="1"/>
      <w:marLeft w:val="0"/>
      <w:marRight w:val="0"/>
      <w:marTop w:val="0"/>
      <w:marBottom w:val="0"/>
      <w:divBdr>
        <w:top w:val="none" w:sz="0" w:space="0" w:color="auto"/>
        <w:left w:val="none" w:sz="0" w:space="0" w:color="auto"/>
        <w:bottom w:val="none" w:sz="0" w:space="0" w:color="auto"/>
        <w:right w:val="none" w:sz="0" w:space="0" w:color="auto"/>
      </w:divBdr>
    </w:div>
    <w:div w:id="144779301">
      <w:bodyDiv w:val="1"/>
      <w:marLeft w:val="0"/>
      <w:marRight w:val="0"/>
      <w:marTop w:val="0"/>
      <w:marBottom w:val="0"/>
      <w:divBdr>
        <w:top w:val="none" w:sz="0" w:space="0" w:color="auto"/>
        <w:left w:val="none" w:sz="0" w:space="0" w:color="auto"/>
        <w:bottom w:val="none" w:sz="0" w:space="0" w:color="auto"/>
        <w:right w:val="none" w:sz="0" w:space="0" w:color="auto"/>
      </w:divBdr>
    </w:div>
    <w:div w:id="160970465">
      <w:bodyDiv w:val="1"/>
      <w:marLeft w:val="0"/>
      <w:marRight w:val="0"/>
      <w:marTop w:val="0"/>
      <w:marBottom w:val="0"/>
      <w:divBdr>
        <w:top w:val="none" w:sz="0" w:space="0" w:color="auto"/>
        <w:left w:val="none" w:sz="0" w:space="0" w:color="auto"/>
        <w:bottom w:val="none" w:sz="0" w:space="0" w:color="auto"/>
        <w:right w:val="none" w:sz="0" w:space="0" w:color="auto"/>
      </w:divBdr>
    </w:div>
    <w:div w:id="202013555">
      <w:bodyDiv w:val="1"/>
      <w:marLeft w:val="0"/>
      <w:marRight w:val="0"/>
      <w:marTop w:val="0"/>
      <w:marBottom w:val="0"/>
      <w:divBdr>
        <w:top w:val="none" w:sz="0" w:space="0" w:color="auto"/>
        <w:left w:val="none" w:sz="0" w:space="0" w:color="auto"/>
        <w:bottom w:val="none" w:sz="0" w:space="0" w:color="auto"/>
        <w:right w:val="none" w:sz="0" w:space="0" w:color="auto"/>
      </w:divBdr>
    </w:div>
    <w:div w:id="359204780">
      <w:bodyDiv w:val="1"/>
      <w:marLeft w:val="0"/>
      <w:marRight w:val="0"/>
      <w:marTop w:val="0"/>
      <w:marBottom w:val="0"/>
      <w:divBdr>
        <w:top w:val="none" w:sz="0" w:space="0" w:color="auto"/>
        <w:left w:val="none" w:sz="0" w:space="0" w:color="auto"/>
        <w:bottom w:val="none" w:sz="0" w:space="0" w:color="auto"/>
        <w:right w:val="none" w:sz="0" w:space="0" w:color="auto"/>
      </w:divBdr>
    </w:div>
    <w:div w:id="470942840">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576329812">
      <w:bodyDiv w:val="1"/>
      <w:marLeft w:val="0"/>
      <w:marRight w:val="0"/>
      <w:marTop w:val="0"/>
      <w:marBottom w:val="0"/>
      <w:divBdr>
        <w:top w:val="none" w:sz="0" w:space="0" w:color="auto"/>
        <w:left w:val="none" w:sz="0" w:space="0" w:color="auto"/>
        <w:bottom w:val="none" w:sz="0" w:space="0" w:color="auto"/>
        <w:right w:val="none" w:sz="0" w:space="0" w:color="auto"/>
      </w:divBdr>
    </w:div>
    <w:div w:id="610624185">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647513873">
      <w:bodyDiv w:val="1"/>
      <w:marLeft w:val="0"/>
      <w:marRight w:val="0"/>
      <w:marTop w:val="0"/>
      <w:marBottom w:val="0"/>
      <w:divBdr>
        <w:top w:val="none" w:sz="0" w:space="0" w:color="auto"/>
        <w:left w:val="none" w:sz="0" w:space="0" w:color="auto"/>
        <w:bottom w:val="none" w:sz="0" w:space="0" w:color="auto"/>
        <w:right w:val="none" w:sz="0" w:space="0" w:color="auto"/>
      </w:divBdr>
    </w:div>
    <w:div w:id="670526731">
      <w:bodyDiv w:val="1"/>
      <w:marLeft w:val="0"/>
      <w:marRight w:val="0"/>
      <w:marTop w:val="0"/>
      <w:marBottom w:val="0"/>
      <w:divBdr>
        <w:top w:val="none" w:sz="0" w:space="0" w:color="auto"/>
        <w:left w:val="none" w:sz="0" w:space="0" w:color="auto"/>
        <w:bottom w:val="none" w:sz="0" w:space="0" w:color="auto"/>
        <w:right w:val="none" w:sz="0" w:space="0" w:color="auto"/>
      </w:divBdr>
    </w:div>
    <w:div w:id="726152228">
      <w:bodyDiv w:val="1"/>
      <w:marLeft w:val="0"/>
      <w:marRight w:val="0"/>
      <w:marTop w:val="0"/>
      <w:marBottom w:val="0"/>
      <w:divBdr>
        <w:top w:val="none" w:sz="0" w:space="0" w:color="auto"/>
        <w:left w:val="none" w:sz="0" w:space="0" w:color="auto"/>
        <w:bottom w:val="none" w:sz="0" w:space="0" w:color="auto"/>
        <w:right w:val="none" w:sz="0" w:space="0" w:color="auto"/>
      </w:divBdr>
    </w:div>
    <w:div w:id="732394404">
      <w:bodyDiv w:val="1"/>
      <w:marLeft w:val="0"/>
      <w:marRight w:val="0"/>
      <w:marTop w:val="0"/>
      <w:marBottom w:val="0"/>
      <w:divBdr>
        <w:top w:val="none" w:sz="0" w:space="0" w:color="auto"/>
        <w:left w:val="none" w:sz="0" w:space="0" w:color="auto"/>
        <w:bottom w:val="none" w:sz="0" w:space="0" w:color="auto"/>
        <w:right w:val="none" w:sz="0" w:space="0" w:color="auto"/>
      </w:divBdr>
    </w:div>
    <w:div w:id="764307997">
      <w:bodyDiv w:val="1"/>
      <w:marLeft w:val="0"/>
      <w:marRight w:val="0"/>
      <w:marTop w:val="0"/>
      <w:marBottom w:val="0"/>
      <w:divBdr>
        <w:top w:val="none" w:sz="0" w:space="0" w:color="auto"/>
        <w:left w:val="none" w:sz="0" w:space="0" w:color="auto"/>
        <w:bottom w:val="none" w:sz="0" w:space="0" w:color="auto"/>
        <w:right w:val="none" w:sz="0" w:space="0" w:color="auto"/>
      </w:divBdr>
      <w:divsChild>
        <w:div w:id="863902810">
          <w:marLeft w:val="0"/>
          <w:marRight w:val="150"/>
          <w:marTop w:val="0"/>
          <w:marBottom w:val="0"/>
          <w:divBdr>
            <w:top w:val="single" w:sz="6" w:space="9" w:color="073951"/>
            <w:left w:val="single" w:sz="6" w:space="9" w:color="073951"/>
            <w:bottom w:val="single" w:sz="6" w:space="9" w:color="073951"/>
            <w:right w:val="single" w:sz="6" w:space="9" w:color="073951"/>
          </w:divBdr>
        </w:div>
      </w:divsChild>
    </w:div>
    <w:div w:id="779498013">
      <w:bodyDiv w:val="1"/>
      <w:marLeft w:val="0"/>
      <w:marRight w:val="0"/>
      <w:marTop w:val="0"/>
      <w:marBottom w:val="0"/>
      <w:divBdr>
        <w:top w:val="none" w:sz="0" w:space="0" w:color="auto"/>
        <w:left w:val="none" w:sz="0" w:space="0" w:color="auto"/>
        <w:bottom w:val="none" w:sz="0" w:space="0" w:color="auto"/>
        <w:right w:val="none" w:sz="0" w:space="0" w:color="auto"/>
      </w:divBdr>
    </w:div>
    <w:div w:id="910584945">
      <w:bodyDiv w:val="1"/>
      <w:marLeft w:val="0"/>
      <w:marRight w:val="0"/>
      <w:marTop w:val="0"/>
      <w:marBottom w:val="0"/>
      <w:divBdr>
        <w:top w:val="none" w:sz="0" w:space="0" w:color="auto"/>
        <w:left w:val="none" w:sz="0" w:space="0" w:color="auto"/>
        <w:bottom w:val="none" w:sz="0" w:space="0" w:color="auto"/>
        <w:right w:val="none" w:sz="0" w:space="0" w:color="auto"/>
      </w:divBdr>
    </w:div>
    <w:div w:id="935400858">
      <w:bodyDiv w:val="1"/>
      <w:marLeft w:val="0"/>
      <w:marRight w:val="0"/>
      <w:marTop w:val="0"/>
      <w:marBottom w:val="0"/>
      <w:divBdr>
        <w:top w:val="none" w:sz="0" w:space="0" w:color="auto"/>
        <w:left w:val="none" w:sz="0" w:space="0" w:color="auto"/>
        <w:bottom w:val="none" w:sz="0" w:space="0" w:color="auto"/>
        <w:right w:val="none" w:sz="0" w:space="0" w:color="auto"/>
      </w:divBdr>
    </w:div>
    <w:div w:id="939221713">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1099178964">
      <w:bodyDiv w:val="1"/>
      <w:marLeft w:val="0"/>
      <w:marRight w:val="0"/>
      <w:marTop w:val="0"/>
      <w:marBottom w:val="0"/>
      <w:divBdr>
        <w:top w:val="none" w:sz="0" w:space="0" w:color="auto"/>
        <w:left w:val="none" w:sz="0" w:space="0" w:color="auto"/>
        <w:bottom w:val="none" w:sz="0" w:space="0" w:color="auto"/>
        <w:right w:val="none" w:sz="0" w:space="0" w:color="auto"/>
      </w:divBdr>
    </w:div>
    <w:div w:id="1149438485">
      <w:bodyDiv w:val="1"/>
      <w:marLeft w:val="0"/>
      <w:marRight w:val="0"/>
      <w:marTop w:val="0"/>
      <w:marBottom w:val="0"/>
      <w:divBdr>
        <w:top w:val="none" w:sz="0" w:space="0" w:color="auto"/>
        <w:left w:val="none" w:sz="0" w:space="0" w:color="auto"/>
        <w:bottom w:val="none" w:sz="0" w:space="0" w:color="auto"/>
        <w:right w:val="none" w:sz="0" w:space="0" w:color="auto"/>
      </w:divBdr>
    </w:div>
    <w:div w:id="1163276688">
      <w:bodyDiv w:val="1"/>
      <w:marLeft w:val="0"/>
      <w:marRight w:val="0"/>
      <w:marTop w:val="0"/>
      <w:marBottom w:val="0"/>
      <w:divBdr>
        <w:top w:val="none" w:sz="0" w:space="0" w:color="auto"/>
        <w:left w:val="none" w:sz="0" w:space="0" w:color="auto"/>
        <w:bottom w:val="none" w:sz="0" w:space="0" w:color="auto"/>
        <w:right w:val="none" w:sz="0" w:space="0" w:color="auto"/>
      </w:divBdr>
    </w:div>
    <w:div w:id="1201433064">
      <w:bodyDiv w:val="1"/>
      <w:marLeft w:val="0"/>
      <w:marRight w:val="0"/>
      <w:marTop w:val="0"/>
      <w:marBottom w:val="0"/>
      <w:divBdr>
        <w:top w:val="none" w:sz="0" w:space="0" w:color="auto"/>
        <w:left w:val="none" w:sz="0" w:space="0" w:color="auto"/>
        <w:bottom w:val="none" w:sz="0" w:space="0" w:color="auto"/>
        <w:right w:val="none" w:sz="0" w:space="0" w:color="auto"/>
      </w:divBdr>
    </w:div>
    <w:div w:id="1230379820">
      <w:bodyDiv w:val="1"/>
      <w:marLeft w:val="0"/>
      <w:marRight w:val="0"/>
      <w:marTop w:val="0"/>
      <w:marBottom w:val="0"/>
      <w:divBdr>
        <w:top w:val="none" w:sz="0" w:space="0" w:color="auto"/>
        <w:left w:val="none" w:sz="0" w:space="0" w:color="auto"/>
        <w:bottom w:val="none" w:sz="0" w:space="0" w:color="auto"/>
        <w:right w:val="none" w:sz="0" w:space="0" w:color="auto"/>
      </w:divBdr>
    </w:div>
    <w:div w:id="1334067874">
      <w:bodyDiv w:val="1"/>
      <w:marLeft w:val="0"/>
      <w:marRight w:val="0"/>
      <w:marTop w:val="0"/>
      <w:marBottom w:val="0"/>
      <w:divBdr>
        <w:top w:val="none" w:sz="0" w:space="0" w:color="auto"/>
        <w:left w:val="none" w:sz="0" w:space="0" w:color="auto"/>
        <w:bottom w:val="none" w:sz="0" w:space="0" w:color="auto"/>
        <w:right w:val="none" w:sz="0" w:space="0" w:color="auto"/>
      </w:divBdr>
    </w:div>
    <w:div w:id="1384989888">
      <w:bodyDiv w:val="1"/>
      <w:marLeft w:val="0"/>
      <w:marRight w:val="0"/>
      <w:marTop w:val="0"/>
      <w:marBottom w:val="0"/>
      <w:divBdr>
        <w:top w:val="none" w:sz="0" w:space="0" w:color="auto"/>
        <w:left w:val="none" w:sz="0" w:space="0" w:color="auto"/>
        <w:bottom w:val="none" w:sz="0" w:space="0" w:color="auto"/>
        <w:right w:val="none" w:sz="0" w:space="0" w:color="auto"/>
      </w:divBdr>
    </w:div>
    <w:div w:id="1471482261">
      <w:bodyDiv w:val="1"/>
      <w:marLeft w:val="0"/>
      <w:marRight w:val="0"/>
      <w:marTop w:val="0"/>
      <w:marBottom w:val="0"/>
      <w:divBdr>
        <w:top w:val="none" w:sz="0" w:space="0" w:color="auto"/>
        <w:left w:val="none" w:sz="0" w:space="0" w:color="auto"/>
        <w:bottom w:val="none" w:sz="0" w:space="0" w:color="auto"/>
        <w:right w:val="none" w:sz="0" w:space="0" w:color="auto"/>
      </w:divBdr>
      <w:divsChild>
        <w:div w:id="1173031996">
          <w:marLeft w:val="0"/>
          <w:marRight w:val="150"/>
          <w:marTop w:val="0"/>
          <w:marBottom w:val="0"/>
          <w:divBdr>
            <w:top w:val="single" w:sz="6" w:space="9" w:color="073951"/>
            <w:left w:val="single" w:sz="6" w:space="9" w:color="073951"/>
            <w:bottom w:val="single" w:sz="6" w:space="9" w:color="073951"/>
            <w:right w:val="single" w:sz="6" w:space="9" w:color="073951"/>
          </w:divBdr>
        </w:div>
      </w:divsChild>
    </w:div>
    <w:div w:id="1483618306">
      <w:bodyDiv w:val="1"/>
      <w:marLeft w:val="0"/>
      <w:marRight w:val="0"/>
      <w:marTop w:val="0"/>
      <w:marBottom w:val="0"/>
      <w:divBdr>
        <w:top w:val="none" w:sz="0" w:space="0" w:color="auto"/>
        <w:left w:val="none" w:sz="0" w:space="0" w:color="auto"/>
        <w:bottom w:val="none" w:sz="0" w:space="0" w:color="auto"/>
        <w:right w:val="none" w:sz="0" w:space="0" w:color="auto"/>
      </w:divBdr>
    </w:div>
    <w:div w:id="1503426125">
      <w:bodyDiv w:val="1"/>
      <w:marLeft w:val="0"/>
      <w:marRight w:val="0"/>
      <w:marTop w:val="0"/>
      <w:marBottom w:val="0"/>
      <w:divBdr>
        <w:top w:val="none" w:sz="0" w:space="0" w:color="auto"/>
        <w:left w:val="none" w:sz="0" w:space="0" w:color="auto"/>
        <w:bottom w:val="none" w:sz="0" w:space="0" w:color="auto"/>
        <w:right w:val="none" w:sz="0" w:space="0" w:color="auto"/>
      </w:divBdr>
    </w:div>
    <w:div w:id="1514298809">
      <w:bodyDiv w:val="1"/>
      <w:marLeft w:val="0"/>
      <w:marRight w:val="0"/>
      <w:marTop w:val="0"/>
      <w:marBottom w:val="0"/>
      <w:divBdr>
        <w:top w:val="none" w:sz="0" w:space="0" w:color="auto"/>
        <w:left w:val="none" w:sz="0" w:space="0" w:color="auto"/>
        <w:bottom w:val="none" w:sz="0" w:space="0" w:color="auto"/>
        <w:right w:val="none" w:sz="0" w:space="0" w:color="auto"/>
      </w:divBdr>
    </w:div>
    <w:div w:id="1567110240">
      <w:bodyDiv w:val="1"/>
      <w:marLeft w:val="0"/>
      <w:marRight w:val="0"/>
      <w:marTop w:val="0"/>
      <w:marBottom w:val="0"/>
      <w:divBdr>
        <w:top w:val="none" w:sz="0" w:space="0" w:color="auto"/>
        <w:left w:val="none" w:sz="0" w:space="0" w:color="auto"/>
        <w:bottom w:val="none" w:sz="0" w:space="0" w:color="auto"/>
        <w:right w:val="none" w:sz="0" w:space="0" w:color="auto"/>
      </w:divBdr>
    </w:div>
    <w:div w:id="1624312119">
      <w:bodyDiv w:val="1"/>
      <w:marLeft w:val="0"/>
      <w:marRight w:val="0"/>
      <w:marTop w:val="0"/>
      <w:marBottom w:val="0"/>
      <w:divBdr>
        <w:top w:val="none" w:sz="0" w:space="0" w:color="auto"/>
        <w:left w:val="none" w:sz="0" w:space="0" w:color="auto"/>
        <w:bottom w:val="none" w:sz="0" w:space="0" w:color="auto"/>
        <w:right w:val="none" w:sz="0" w:space="0" w:color="auto"/>
      </w:divBdr>
    </w:div>
    <w:div w:id="1661805636">
      <w:bodyDiv w:val="1"/>
      <w:marLeft w:val="0"/>
      <w:marRight w:val="0"/>
      <w:marTop w:val="0"/>
      <w:marBottom w:val="0"/>
      <w:divBdr>
        <w:top w:val="none" w:sz="0" w:space="0" w:color="auto"/>
        <w:left w:val="none" w:sz="0" w:space="0" w:color="auto"/>
        <w:bottom w:val="none" w:sz="0" w:space="0" w:color="auto"/>
        <w:right w:val="none" w:sz="0" w:space="0" w:color="auto"/>
      </w:divBdr>
    </w:div>
    <w:div w:id="1668753506">
      <w:bodyDiv w:val="1"/>
      <w:marLeft w:val="0"/>
      <w:marRight w:val="0"/>
      <w:marTop w:val="0"/>
      <w:marBottom w:val="0"/>
      <w:divBdr>
        <w:top w:val="none" w:sz="0" w:space="0" w:color="auto"/>
        <w:left w:val="none" w:sz="0" w:space="0" w:color="auto"/>
        <w:bottom w:val="none" w:sz="0" w:space="0" w:color="auto"/>
        <w:right w:val="none" w:sz="0" w:space="0" w:color="auto"/>
      </w:divBdr>
    </w:div>
    <w:div w:id="1669360876">
      <w:bodyDiv w:val="1"/>
      <w:marLeft w:val="0"/>
      <w:marRight w:val="0"/>
      <w:marTop w:val="0"/>
      <w:marBottom w:val="0"/>
      <w:divBdr>
        <w:top w:val="none" w:sz="0" w:space="0" w:color="auto"/>
        <w:left w:val="none" w:sz="0" w:space="0" w:color="auto"/>
        <w:bottom w:val="none" w:sz="0" w:space="0" w:color="auto"/>
        <w:right w:val="none" w:sz="0" w:space="0" w:color="auto"/>
      </w:divBdr>
    </w:div>
    <w:div w:id="1696271950">
      <w:bodyDiv w:val="1"/>
      <w:marLeft w:val="0"/>
      <w:marRight w:val="0"/>
      <w:marTop w:val="0"/>
      <w:marBottom w:val="0"/>
      <w:divBdr>
        <w:top w:val="none" w:sz="0" w:space="0" w:color="auto"/>
        <w:left w:val="none" w:sz="0" w:space="0" w:color="auto"/>
        <w:bottom w:val="none" w:sz="0" w:space="0" w:color="auto"/>
        <w:right w:val="none" w:sz="0" w:space="0" w:color="auto"/>
      </w:divBdr>
    </w:div>
    <w:div w:id="1705516034">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1757897048">
      <w:bodyDiv w:val="1"/>
      <w:marLeft w:val="0"/>
      <w:marRight w:val="0"/>
      <w:marTop w:val="0"/>
      <w:marBottom w:val="0"/>
      <w:divBdr>
        <w:top w:val="none" w:sz="0" w:space="0" w:color="auto"/>
        <w:left w:val="none" w:sz="0" w:space="0" w:color="auto"/>
        <w:bottom w:val="none" w:sz="0" w:space="0" w:color="auto"/>
        <w:right w:val="none" w:sz="0" w:space="0" w:color="auto"/>
      </w:divBdr>
    </w:div>
    <w:div w:id="1764299886">
      <w:bodyDiv w:val="1"/>
      <w:marLeft w:val="0"/>
      <w:marRight w:val="0"/>
      <w:marTop w:val="0"/>
      <w:marBottom w:val="0"/>
      <w:divBdr>
        <w:top w:val="none" w:sz="0" w:space="0" w:color="auto"/>
        <w:left w:val="none" w:sz="0" w:space="0" w:color="auto"/>
        <w:bottom w:val="none" w:sz="0" w:space="0" w:color="auto"/>
        <w:right w:val="none" w:sz="0" w:space="0" w:color="auto"/>
      </w:divBdr>
    </w:div>
    <w:div w:id="1816600304">
      <w:bodyDiv w:val="1"/>
      <w:marLeft w:val="0"/>
      <w:marRight w:val="0"/>
      <w:marTop w:val="0"/>
      <w:marBottom w:val="0"/>
      <w:divBdr>
        <w:top w:val="none" w:sz="0" w:space="0" w:color="auto"/>
        <w:left w:val="none" w:sz="0" w:space="0" w:color="auto"/>
        <w:bottom w:val="none" w:sz="0" w:space="0" w:color="auto"/>
        <w:right w:val="none" w:sz="0" w:space="0" w:color="auto"/>
      </w:divBdr>
    </w:div>
    <w:div w:id="1960450905">
      <w:bodyDiv w:val="1"/>
      <w:marLeft w:val="0"/>
      <w:marRight w:val="0"/>
      <w:marTop w:val="0"/>
      <w:marBottom w:val="0"/>
      <w:divBdr>
        <w:top w:val="none" w:sz="0" w:space="0" w:color="auto"/>
        <w:left w:val="none" w:sz="0" w:space="0" w:color="auto"/>
        <w:bottom w:val="none" w:sz="0" w:space="0" w:color="auto"/>
        <w:right w:val="none" w:sz="0" w:space="0" w:color="auto"/>
      </w:divBdr>
    </w:div>
    <w:div w:id="2029015223">
      <w:bodyDiv w:val="1"/>
      <w:marLeft w:val="0"/>
      <w:marRight w:val="0"/>
      <w:marTop w:val="0"/>
      <w:marBottom w:val="0"/>
      <w:divBdr>
        <w:top w:val="none" w:sz="0" w:space="0" w:color="auto"/>
        <w:left w:val="none" w:sz="0" w:space="0" w:color="auto"/>
        <w:bottom w:val="none" w:sz="0" w:space="0" w:color="auto"/>
        <w:right w:val="none" w:sz="0" w:space="0" w:color="auto"/>
      </w:divBdr>
    </w:div>
    <w:div w:id="2038195454">
      <w:bodyDiv w:val="1"/>
      <w:marLeft w:val="0"/>
      <w:marRight w:val="0"/>
      <w:marTop w:val="0"/>
      <w:marBottom w:val="0"/>
      <w:divBdr>
        <w:top w:val="none" w:sz="0" w:space="0" w:color="auto"/>
        <w:left w:val="none" w:sz="0" w:space="0" w:color="auto"/>
        <w:bottom w:val="none" w:sz="0" w:space="0" w:color="auto"/>
        <w:right w:val="none" w:sz="0" w:space="0" w:color="auto"/>
      </w:divBdr>
    </w:div>
    <w:div w:id="2038307723">
      <w:bodyDiv w:val="1"/>
      <w:marLeft w:val="0"/>
      <w:marRight w:val="0"/>
      <w:marTop w:val="0"/>
      <w:marBottom w:val="0"/>
      <w:divBdr>
        <w:top w:val="none" w:sz="0" w:space="0" w:color="auto"/>
        <w:left w:val="none" w:sz="0" w:space="0" w:color="auto"/>
        <w:bottom w:val="none" w:sz="0" w:space="0" w:color="auto"/>
        <w:right w:val="none" w:sz="0" w:space="0" w:color="auto"/>
      </w:divBdr>
    </w:div>
    <w:div w:id="2073036844">
      <w:bodyDiv w:val="1"/>
      <w:marLeft w:val="0"/>
      <w:marRight w:val="0"/>
      <w:marTop w:val="0"/>
      <w:marBottom w:val="0"/>
      <w:divBdr>
        <w:top w:val="none" w:sz="0" w:space="0" w:color="auto"/>
        <w:left w:val="none" w:sz="0" w:space="0" w:color="auto"/>
        <w:bottom w:val="none" w:sz="0" w:space="0" w:color="auto"/>
        <w:right w:val="none" w:sz="0" w:space="0" w:color="auto"/>
      </w:divBdr>
    </w:div>
    <w:div w:id="2099791825">
      <w:bodyDiv w:val="1"/>
      <w:marLeft w:val="0"/>
      <w:marRight w:val="0"/>
      <w:marTop w:val="0"/>
      <w:marBottom w:val="0"/>
      <w:divBdr>
        <w:top w:val="none" w:sz="0" w:space="0" w:color="auto"/>
        <w:left w:val="none" w:sz="0" w:space="0" w:color="auto"/>
        <w:bottom w:val="none" w:sz="0" w:space="0" w:color="auto"/>
        <w:right w:val="none" w:sz="0" w:space="0" w:color="auto"/>
      </w:divBdr>
    </w:div>
    <w:div w:id="213335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3974DF7364AFB8B82B9802F8F0059"/>
        <w:category>
          <w:name w:val="General"/>
          <w:gallery w:val="placeholder"/>
        </w:category>
        <w:types>
          <w:type w:val="bbPlcHdr"/>
        </w:types>
        <w:behaviors>
          <w:behavior w:val="content"/>
        </w:behaviors>
        <w:guid w:val="{923E6CDC-AE1F-47D7-BB0F-08D36A594EEF}"/>
      </w:docPartPr>
      <w:docPartBody>
        <w:p w:rsidR="00300273" w:rsidRDefault="00300273"/>
      </w:docPartBody>
    </w:docPart>
    <w:docPart>
      <w:docPartPr>
        <w:name w:val="FFC2AC3E36EA4048A1AACFF46D44CF33"/>
        <w:category>
          <w:name w:val="General"/>
          <w:gallery w:val="placeholder"/>
        </w:category>
        <w:types>
          <w:type w:val="bbPlcHdr"/>
        </w:types>
        <w:behaviors>
          <w:behavior w:val="content"/>
        </w:behaviors>
        <w:guid w:val="{E5501888-0AB3-4281-993F-39A214048461}"/>
      </w:docPartPr>
      <w:docPartBody>
        <w:p w:rsidR="00300273" w:rsidRDefault="00300273"/>
      </w:docPartBody>
    </w:docPart>
    <w:docPart>
      <w:docPartPr>
        <w:name w:val="910A75C86A67437A8E36E69FAD24F6FC"/>
        <w:category>
          <w:name w:val="General"/>
          <w:gallery w:val="placeholder"/>
        </w:category>
        <w:types>
          <w:type w:val="bbPlcHdr"/>
        </w:types>
        <w:behaviors>
          <w:behavior w:val="content"/>
        </w:behaviors>
        <w:guid w:val="{AA1C00C9-5ED8-4461-AD67-6A402600D5AB}"/>
      </w:docPartPr>
      <w:docPartBody>
        <w:p w:rsidR="00300273" w:rsidRDefault="00300273"/>
      </w:docPartBody>
    </w:docPart>
    <w:docPart>
      <w:docPartPr>
        <w:name w:val="91A3CD47CABD4A17AB78CBE7FFB960A6"/>
        <w:category>
          <w:name w:val="General"/>
          <w:gallery w:val="placeholder"/>
        </w:category>
        <w:types>
          <w:type w:val="bbPlcHdr"/>
        </w:types>
        <w:behaviors>
          <w:behavior w:val="content"/>
        </w:behaviors>
        <w:guid w:val="{7ED03ADE-70F5-4C97-98AC-C99C8FA5987F}"/>
      </w:docPartPr>
      <w:docPartBody>
        <w:p w:rsidR="00300273" w:rsidRDefault="00300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67F0F"/>
    <w:rsid w:val="0008279D"/>
    <w:rsid w:val="000D4DEC"/>
    <w:rsid w:val="000D7039"/>
    <w:rsid w:val="000F0A29"/>
    <w:rsid w:val="000F130B"/>
    <w:rsid w:val="00103360"/>
    <w:rsid w:val="00115177"/>
    <w:rsid w:val="001738E7"/>
    <w:rsid w:val="00186171"/>
    <w:rsid w:val="001C1BB3"/>
    <w:rsid w:val="001E16D4"/>
    <w:rsid w:val="00224689"/>
    <w:rsid w:val="00235E87"/>
    <w:rsid w:val="0029629D"/>
    <w:rsid w:val="002A0385"/>
    <w:rsid w:val="002D64B0"/>
    <w:rsid w:val="002F54DF"/>
    <w:rsid w:val="00300273"/>
    <w:rsid w:val="0030162C"/>
    <w:rsid w:val="003277C5"/>
    <w:rsid w:val="00327A9C"/>
    <w:rsid w:val="00367CCD"/>
    <w:rsid w:val="00372AC5"/>
    <w:rsid w:val="003755A7"/>
    <w:rsid w:val="00391B24"/>
    <w:rsid w:val="003C0FE8"/>
    <w:rsid w:val="003C11ED"/>
    <w:rsid w:val="003F1C88"/>
    <w:rsid w:val="003F4CEA"/>
    <w:rsid w:val="003F7FD4"/>
    <w:rsid w:val="00421F74"/>
    <w:rsid w:val="004261D9"/>
    <w:rsid w:val="004315B5"/>
    <w:rsid w:val="0044500A"/>
    <w:rsid w:val="00474C3D"/>
    <w:rsid w:val="004A27A9"/>
    <w:rsid w:val="004C7EB3"/>
    <w:rsid w:val="004D4B23"/>
    <w:rsid w:val="004E2CE8"/>
    <w:rsid w:val="0053092C"/>
    <w:rsid w:val="00533635"/>
    <w:rsid w:val="0056213D"/>
    <w:rsid w:val="00564C24"/>
    <w:rsid w:val="00573E37"/>
    <w:rsid w:val="0058018C"/>
    <w:rsid w:val="00584314"/>
    <w:rsid w:val="0059409B"/>
    <w:rsid w:val="005B1138"/>
    <w:rsid w:val="005C41D3"/>
    <w:rsid w:val="005F2CE6"/>
    <w:rsid w:val="006314E5"/>
    <w:rsid w:val="006422E0"/>
    <w:rsid w:val="00655254"/>
    <w:rsid w:val="006736D3"/>
    <w:rsid w:val="0068327B"/>
    <w:rsid w:val="006938AE"/>
    <w:rsid w:val="00694506"/>
    <w:rsid w:val="006B7C5A"/>
    <w:rsid w:val="006E0D3E"/>
    <w:rsid w:val="0070235C"/>
    <w:rsid w:val="0076015D"/>
    <w:rsid w:val="008017A4"/>
    <w:rsid w:val="00855F69"/>
    <w:rsid w:val="008C7210"/>
    <w:rsid w:val="008C7230"/>
    <w:rsid w:val="008D1EF9"/>
    <w:rsid w:val="008D34E5"/>
    <w:rsid w:val="00912CFA"/>
    <w:rsid w:val="00952152"/>
    <w:rsid w:val="009B0EB2"/>
    <w:rsid w:val="00A060FA"/>
    <w:rsid w:val="00A72AC8"/>
    <w:rsid w:val="00AA1E50"/>
    <w:rsid w:val="00AB3870"/>
    <w:rsid w:val="00B32085"/>
    <w:rsid w:val="00BA15DD"/>
    <w:rsid w:val="00BD1248"/>
    <w:rsid w:val="00BF664B"/>
    <w:rsid w:val="00C34F07"/>
    <w:rsid w:val="00C40A38"/>
    <w:rsid w:val="00C53785"/>
    <w:rsid w:val="00C766B4"/>
    <w:rsid w:val="00C80ABB"/>
    <w:rsid w:val="00D3564F"/>
    <w:rsid w:val="00D53E4F"/>
    <w:rsid w:val="00D75F4B"/>
    <w:rsid w:val="00DB4DEF"/>
    <w:rsid w:val="00DC26AB"/>
    <w:rsid w:val="00DD349A"/>
    <w:rsid w:val="00DE3CC8"/>
    <w:rsid w:val="00E87513"/>
    <w:rsid w:val="00EE74D2"/>
    <w:rsid w:val="00EE7EE9"/>
    <w:rsid w:val="00EF15EE"/>
    <w:rsid w:val="00EF252E"/>
    <w:rsid w:val="00F04AC0"/>
    <w:rsid w:val="00F92C65"/>
    <w:rsid w:val="00FA6CB8"/>
    <w:rsid w:val="00FB08B4"/>
    <w:rsid w:val="00FD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02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7C2403C90BF47B5BF7300C25BBA47" ma:contentTypeVersion="12" ma:contentTypeDescription="Create a new document." ma:contentTypeScope="" ma:versionID="df0e4f30ca9df9be3eb8d27e2bd9dd03">
  <xsd:schema xmlns:xsd="http://www.w3.org/2001/XMLSchema" xmlns:xs="http://www.w3.org/2001/XMLSchema" xmlns:p="http://schemas.microsoft.com/office/2006/metadata/properties" xmlns:ns3="70aaa6bf-97c2-4664-8778-9d6cd0e8e6c5" xmlns:ns4="0b41e460-d911-42d6-8c86-29eb49c7486f" targetNamespace="http://schemas.microsoft.com/office/2006/metadata/properties" ma:root="true" ma:fieldsID="9d07e39fc77b524a3230baeb6f869e33" ns3:_="" ns4:_="">
    <xsd:import namespace="70aaa6bf-97c2-4664-8778-9d6cd0e8e6c5"/>
    <xsd:import namespace="0b41e460-d911-42d6-8c86-29eb49c748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aa6bf-97c2-4664-8778-9d6cd0e8e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1e460-d911-42d6-8c86-29eb49c74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 PSL</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2012-04-17T10:59:36+00:00</ConfigListSynch>
    <CCOffice xmlns="http://schema.microsoft.com/sharepoint/v3/fields">London</CCOffice>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Tyler, Stephanie (Corporate-LON)</DisplayName>
        <AccountId>788</AccountId>
        <AccountType/>
      </UserInfo>
    </DocumentOwner>
    <MatterStatus xmlns="http://schema.microsoft.com/sharepoint/v3/fields">Current</MatterStatus>
    <MatterNumber xmlns="http://schema.microsoft.com/sharepoint/v3/fields">UK-0020-PSL</MatterNumber>
    <PracticeArea xmlns="http://schema.microsoft.com/sharepoint/v3/fields">Corporate</PracticeArea>
    <PracticeGroup xmlns="http://schema.microsoft.com/sharepoint/v3/fields">Corporate Central Support</PracticeGroup>
    <_dlc_DocId xmlns="84e8189d-2f07-4d07-be7d-de46b9fe3006">57018-6-18829</_dlc_DocId>
    <_dlc_DocIdUrl xmlns="84e8189d-2f07-4d07-be7d-de46b9fe3006">
      <Url>http://spr1.intranet.cliffordchance.com/sites/UK-0020-PSL/_layouts/DocIdRedir.aspx?ID=57018-6-18829</Url>
      <Description>57018-6-18829</Description>
    </_dlc_DocIdUrl>
    <DLCPolicyLabelLock xmlns="62f3a96a-05be-441f-9e1d-0fdad80994e7" xsi:nil="true"/>
    <TaxCatchAll xmlns="e87fe6ae-32f2-47a8-9b20-acf4d073ae47"/>
    <DLCPolicyLabelClientValue xmlns="62f3a96a-05be-441f-9e1d-0fdad80994e7">57018-6-18829-v{_UIVersionString}</DLCPolicyLabelClientValue>
    <DLCPolicyLabelValue xmlns="62f3a96a-05be-441f-9e1d-0fdad80994e7">57018-6-18829-v0.3</DLCPolicyLabelValue>
    <_dlc_Exempt xmlns="http://schemas.microsoft.com/sharepoint/v3">false</_dlc_Exempt>
    <DocumentIcons xmlns="http://schema.microsoft.com/sharepoint/v3/fields" xsi:nil="true"/>
    <_dlc_DocIdPersistId xmlns="84e8189d-2f07-4d07-be7d-de46b9fe3006" xsi:nil="true"/>
  </documentManagement>
</p:properties>
</file>

<file path=customXml/item4.xml><?xml version="1.0" encoding="utf-8"?>
<ContentControlsMetadata xmlns="http://tempuri.org/ContentControlsMetadata.xs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9F28-FC1B-488E-A365-D6E07A92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aa6bf-97c2-4664-8778-9d6cd0e8e6c5"/>
    <ds:schemaRef ds:uri="0b41e460-d911-42d6-8c86-29eb49c74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AE3E5-BFA2-4801-9F39-C775110BF9DD}">
  <ds:schemaRefs>
    <ds:schemaRef ds:uri="http://schemas.microsoft.com/sharepoint/v3/contenttype/forms"/>
  </ds:schemaRefs>
</ds:datastoreItem>
</file>

<file path=customXml/itemProps3.xml><?xml version="1.0" encoding="utf-8"?>
<ds:datastoreItem xmlns:ds="http://schemas.openxmlformats.org/officeDocument/2006/customXml" ds:itemID="{D9C66E9F-3581-41D5-8541-EEBD72947AE1}">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62f3a96a-05be-441f-9e1d-0fdad80994e7"/>
    <ds:schemaRef ds:uri="e87fe6ae-32f2-47a8-9b20-acf4d073ae47"/>
    <ds:schemaRef ds:uri="http://schemas.microsoft.com/sharepoint/v3"/>
  </ds:schemaRefs>
</ds:datastoreItem>
</file>

<file path=customXml/itemProps4.xml><?xml version="1.0" encoding="utf-8"?>
<ds:datastoreItem xmlns:ds="http://schemas.openxmlformats.org/officeDocument/2006/customXml" ds:itemID="{E48EC09A-DFB4-4F39-8734-4AB17E6FB6D2}">
  <ds:schemaRefs>
    <ds:schemaRef ds:uri="http://tempuri.org/ContentControlsMetadata.xsd"/>
  </ds:schemaRefs>
</ds:datastoreItem>
</file>

<file path=customXml/itemProps5.xml><?xml version="1.0" encoding="utf-8"?>
<ds:datastoreItem xmlns:ds="http://schemas.openxmlformats.org/officeDocument/2006/customXml" ds:itemID="{DAC39111-6EFB-4557-8754-553AF1C9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13</TotalTime>
  <Pages>9</Pages>
  <Words>3961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McKean, Juliet (Corporate-LON)</dc:creator>
  <cp:lastModifiedBy>McKean, Juliet (Corporate Transactions-LON)</cp:lastModifiedBy>
  <cp:revision>6</cp:revision>
  <cp:lastPrinted>2025-03-06T16:39:00Z</cp:lastPrinted>
  <dcterms:created xsi:type="dcterms:W3CDTF">2025-05-07T14:06:00Z</dcterms:created>
  <dcterms:modified xsi:type="dcterms:W3CDTF">2025-05-07T15:09:00Z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LaunchTemplateMacro">
    <vt:lpwstr>LaunchTemplateMacro</vt:lpwstr>
  </property>
  <property fmtid="{D5CDD505-2E9C-101B-9397-08002B2CF9AE}" pid="5" name="CCDocID">
    <vt:lpwstr>10315853864-v1</vt:lpwstr>
  </property>
  <property fmtid="{D5CDD505-2E9C-101B-9397-08002B2CF9AE}" pid="6" name="CCMatter">
    <vt:lpwstr>UK-0020-PSL</vt:lpwstr>
  </property>
  <property fmtid="{D5CDD505-2E9C-101B-9397-08002B2CF9AE}" pid="7" name="ContentTypeId">
    <vt:lpwstr>0x0101003467C2403C90BF47B5BF7300C25BBA47</vt:lpwstr>
  </property>
  <property fmtid="{D5CDD505-2E9C-101B-9397-08002B2CF9AE}" pid="8" name="Jurisdiction">
    <vt:lpwstr/>
  </property>
  <property fmtid="{D5CDD505-2E9C-101B-9397-08002B2CF9AE}" pid="9" name="LegalDocumentType">
    <vt:lpwstr/>
  </property>
  <property fmtid="{D5CDD505-2E9C-101B-9397-08002B2CF9AE}" pid="10" name="LegalTopic">
    <vt:lpwstr/>
  </property>
  <property fmtid="{D5CDD505-2E9C-101B-9397-08002B2CF9AE}" pid="11" name="_dlc_DocIdItemGuid">
    <vt:lpwstr>75d2c606-be46-45b9-8bcb-92626a5a99b9</vt:lpwstr>
  </property>
  <property fmtid="{D5CDD505-2E9C-101B-9397-08002B2CF9AE}" pid="12" name="iManageFooter">
    <vt:lpwstr>#10245393765v1&lt;Emea&gt; - CLLS agenda September 2023</vt:lpwstr>
  </property>
</Properties>
</file>